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800" w:line="283" w:lineRule="auto"/>
        <w:jc w:val="center"/>
        <w:bidi w:val="1"/>
      </w:pPr>
      <w:r>
        <w:rPr>
          <w:rFonts w:ascii="DejaVu Sans" w:hAnsi="DejaVu Sans" w:cs="DejaVu Sans"/>
          <w:b/>
          <w:color w:val="B79A62"/>
          <w:sz w:val="24"/>
        </w:rPr>
        <w:t>دراسة سوقية تنفيذية</w:t>
      </w:r>
    </w:p>
    <w:p>
      <w:pPr>
        <w:spacing w:before="0" w:after="300" w:line="283" w:lineRule="auto"/>
        <w:jc w:val="center"/>
        <w:bidi w:val="1"/>
      </w:pPr>
      <w:r>
        <w:rPr>
          <w:rFonts w:ascii="DejaVu Sans" w:hAnsi="DejaVu Sans" w:cs="DejaVu Sans"/>
          <w:b/>
          <w:color w:val="101B2D"/>
          <w:sz w:val="54"/>
        </w:rPr>
        <w:t>الظهور الإعلامي لمكاتب المحاماة</w:t>
        <w:br/>
        <w:t>في المملكة العربية السعودية</w:t>
      </w:r>
    </w:p>
    <w:p>
      <w:pPr>
        <w:spacing w:before="0" w:after="900" w:line="283" w:lineRule="auto"/>
        <w:jc w:val="center"/>
        <w:bidi w:val="1"/>
      </w:pPr>
      <w:r>
        <w:rPr>
          <w:rFonts w:ascii="DejaVu Sans" w:hAnsi="DejaVu Sans" w:cs="DejaVu Sans"/>
          <w:b w:val="0"/>
          <w:color w:val="5E6672"/>
          <w:sz w:val="24"/>
        </w:rPr>
        <w:t>تحليل المنافسين • منهجيات ما خلف الكواليس • خوارزميات المنصات • خطة تطبيق 90 يومًا</w:t>
      </w:r>
    </w:p>
    <w:tbl>
      <w:tblPr>
        <w:tblW w:type="dxa" w:w="9120"/>
        <w:jc w:val="center"/>
        <w:tblLayout w:type="fixed"/>
        <w:tblLook w:firstColumn="1" w:firstRow="1" w:lastColumn="0" w:lastRow="0" w:noHBand="0" w:noVBand="1" w:val="04A0"/>
        <w:tblInd w:w="120" w:type="dxa"/>
      </w:tblPr>
      <w:tblGrid>
        <w:gridCol w:w="9120"/>
      </w:tblGrid>
      <w:tr>
        <w:tc>
          <w:tcPr>
            <w:tcW w:type="dxa" w:w="9120"/>
            <w:tcMar>
              <w:top w:w="100" w:type="dxa"/>
              <w:start w:w="110" w:type="dxa"/>
              <w:bottom w:w="100" w:type="dxa"/>
              <w:end w:w="110" w:type="dxa"/>
            </w:tcMar>
            <w:shd w:fill="EEF1F5"/>
          </w:tcPr>
          <w:p>
            <w:pPr>
              <w:jc w:val="right"/>
              <w:bidi w:val="1"/>
            </w:pPr>
            <w:r>
              <w:rPr>
                <w:rFonts w:ascii="DejaVu Sans" w:hAnsi="DejaVu Sans" w:cs="DejaVu Sans"/>
                <w:b/>
                <w:color w:val="101B2D"/>
                <w:sz w:val="20"/>
              </w:rPr>
              <w:t xml:space="preserve">الجهة المستفيدة: </w:t>
            </w:r>
            <w:r>
              <w:rPr>
                <w:rFonts w:ascii="DejaVu Sans" w:hAnsi="DejaVu Sans" w:cs="DejaVu Sans"/>
                <w:b w:val="0"/>
                <w:color w:val="171A1F"/>
                <w:sz w:val="20"/>
              </w:rPr>
              <w:t>مكتب أحمد المدني للمحاماة – قسم التسويق</w:t>
            </w:r>
          </w:p>
        </w:tc>
      </w:tr>
    </w:tbl>
    <w:p>
      <w:pPr>
        <w:spacing w:after="40"/>
      </w:pPr>
    </w:p>
    <w:p>
      <w:pPr>
        <w:spacing w:before="0" w:after="1200" w:line="283" w:lineRule="auto"/>
        <w:jc w:val="center"/>
        <w:bidi w:val="1"/>
      </w:pPr>
      <w:r>
        <w:rPr>
          <w:rFonts w:ascii="DejaVu Sans" w:hAnsi="DejaVu Sans" w:cs="DejaVu Sans"/>
          <w:b w:val="0"/>
          <w:color w:val="5E6672"/>
          <w:sz w:val="20"/>
        </w:rPr>
        <w:t>تاريخ القياس: 23 يوليو 2026</w:t>
        <w:br/>
        <w:t>نطاق البيانات العامة: آخر 12 شهرًا، مع لقطة رقمية موحدة في تاريخ القياس</w:t>
      </w:r>
    </w:p>
    <w:p>
      <w:pPr>
        <w:spacing w:before="0" w:after="100" w:line="283" w:lineRule="auto"/>
        <w:jc w:val="center"/>
        <w:bidi w:val="1"/>
      </w:pPr>
      <w:r>
        <w:rPr>
          <w:rFonts w:ascii="DejaVu Sans" w:hAnsi="DejaVu Sans" w:cs="DejaVu Sans"/>
          <w:b/>
          <w:color w:val="101B2D"/>
          <w:sz w:val="18"/>
        </w:rPr>
        <w:t>وثيقة داخلية لاتخاذ القرار</w:t>
      </w:r>
    </w:p>
    <w:p>
      <w:r>
        <w:br w:type="page"/>
      </w:r>
    </w:p>
    <w:p>
      <w:pPr>
        <w:pStyle w:val="Heading1"/>
        <w:jc w:val="right"/>
        <w:bidi w:val="1"/>
      </w:pPr>
      <w:r>
        <w:t>النتيجة التنفيذية في صفحة واحدة</w:t>
      </w:r>
    </w:p>
    <w:tbl>
      <w:tblPr>
        <w:tblW w:type="dxa" w:w="9120"/>
        <w:jc w:val="center"/>
        <w:tblLayout w:type="fixed"/>
        <w:tblLook w:firstColumn="1" w:firstRow="1" w:lastColumn="0" w:lastRow="0" w:noHBand="0" w:noVBand="1" w:val="04A0"/>
        <w:tblInd w:w="120" w:type="dxa"/>
      </w:tblPr>
      <w:tblGrid>
        <w:gridCol w:w="9120"/>
      </w:tblGrid>
      <w:tr>
        <w:tc>
          <w:tcPr>
            <w:tcW w:type="dxa" w:w="9120"/>
            <w:tcMar>
              <w:top w:w="100" w:type="dxa"/>
              <w:start w:w="110" w:type="dxa"/>
              <w:bottom w:w="100" w:type="dxa"/>
              <w:end w:w="110" w:type="dxa"/>
            </w:tcMar>
            <w:shd w:fill="E8EEF6"/>
          </w:tcPr>
          <w:p>
            <w:pPr>
              <w:jc w:val="right"/>
              <w:bidi w:val="1"/>
            </w:pPr>
            <w:r>
              <w:rPr>
                <w:rFonts w:ascii="DejaVu Sans" w:hAnsi="DejaVu Sans" w:cs="DejaVu Sans"/>
                <w:b/>
                <w:color w:val="101B2D"/>
                <w:sz w:val="20"/>
              </w:rPr>
              <w:t xml:space="preserve">قرار الدراسة: </w:t>
            </w:r>
            <w:r>
              <w:rPr>
                <w:rFonts w:ascii="DejaVu Sans" w:hAnsi="DejaVu Sans" w:cs="DejaVu Sans"/>
                <w:b w:val="0"/>
                <w:color w:val="171A1F"/>
                <w:sz w:val="20"/>
              </w:rPr>
              <w:t>لا يُنصح ببناء ظهور المكتب على كثافة المنشورات أو الأخبار الصحفية المنفصلة. النموذج الأعلى عائدًا هو: «خبرة قانونية موثقة → وجه خبير واضح → توزيع رقمي → تضخيم صحفي انتقائي → أصل معرفي قابل للبحث → قياس طلبات الأعمال».</w:t>
            </w:r>
          </w:p>
        </w:tc>
      </w:tr>
    </w:tbl>
    <w:p>
      <w:pPr>
        <w:spacing w:after="40"/>
      </w:pPr>
    </w:p>
    <w:tbl>
      <w:tblPr>
        <w:tblStyle w:val="TableGrid"/>
        <w:tblW w:type="dxa" w:w="9120"/>
        <w:jc w:val="center"/>
        <w:tblLayout w:type="fixed"/>
        <w:tblLook w:firstColumn="1" w:firstRow="1" w:lastColumn="0" w:lastRow="0" w:noHBand="0" w:noVBand="1" w:val="04A0"/>
        <w:tblInd w:w="120" w:type="dxa"/>
      </w:tblPr>
      <w:tblGrid>
        <w:gridCol w:w="1800"/>
        <w:gridCol w:w="7320"/>
      </w:tblGrid>
      <w:tr>
        <w:trPr>
          <w:tblHeader/>
        </w:trPr>
        <w:tc>
          <w:tcPr>
            <w:tcW w:type="dxa" w:w="180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8"/>
              </w:rPr>
              <w:t>المؤشر</w:t>
            </w:r>
          </w:p>
        </w:tc>
        <w:tc>
          <w:tcPr>
            <w:tcW w:type="dxa" w:w="732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8"/>
              </w:rPr>
              <w:t>الدلالة الإدارية</w:t>
            </w:r>
          </w:p>
        </w:tc>
      </w:tr>
      <w:tr>
        <w:tc>
          <w:tcPr>
            <w:tcW w:type="dxa" w:w="1800"/>
            <w:vAlign w:val="center"/>
          </w:tcPr>
          <w:p>
            <w:pPr>
              <w:jc w:val="right"/>
              <w:bidi w:val="1"/>
            </w:pPr>
            <w:r>
              <w:rPr>
                <w:rFonts w:ascii="DejaVu Sans" w:hAnsi="DejaVu Sans" w:cs="DejaVu Sans"/>
                <w:b w:val="0"/>
                <w:color w:val="171A1F"/>
                <w:sz w:val="18"/>
              </w:rPr>
              <w:t>323,303</w:t>
            </w:r>
          </w:p>
        </w:tc>
        <w:tc>
          <w:tcPr>
            <w:tcW w:type="dxa" w:w="7320"/>
            <w:vAlign w:val="center"/>
          </w:tcPr>
          <w:p>
            <w:pPr>
              <w:jc w:val="center"/>
              <w:bidi w:val="1"/>
            </w:pPr>
            <w:r>
              <w:rPr>
                <w:rFonts w:ascii="DejaVu Sans" w:hAnsi="DejaVu Sans" w:cs="DejaVu Sans"/>
                <w:b w:val="0"/>
                <w:color w:val="171A1F"/>
                <w:sz w:val="18"/>
              </w:rPr>
              <w:t>إجمالي متابعي LinkedIn للعينة؛ ليس عددًا فريدًا بسبب تداخل الجماهير</w:t>
            </w:r>
          </w:p>
        </w:tc>
      </w:tr>
      <w:tr>
        <w:tc>
          <w:tcPr>
            <w:tcW w:type="dxa" w:w="1800"/>
            <w:vAlign w:val="center"/>
            <w:shd w:fill="F7F8FA"/>
          </w:tcPr>
          <w:p>
            <w:pPr>
              <w:jc w:val="right"/>
              <w:bidi w:val="1"/>
            </w:pPr>
            <w:r>
              <w:rPr>
                <w:rFonts w:ascii="DejaVu Sans" w:hAnsi="DejaVu Sans" w:cs="DejaVu Sans"/>
                <w:b w:val="0"/>
                <w:color w:val="171A1F"/>
                <w:sz w:val="18"/>
              </w:rPr>
              <w:t>10,044</w:t>
            </w:r>
          </w:p>
        </w:tc>
        <w:tc>
          <w:tcPr>
            <w:tcW w:type="dxa" w:w="7320"/>
            <w:vAlign w:val="center"/>
            <w:shd w:fill="F7F8FA"/>
          </w:tcPr>
          <w:p>
            <w:pPr>
              <w:jc w:val="center"/>
              <w:bidi w:val="1"/>
            </w:pPr>
            <w:r>
              <w:rPr>
                <w:rFonts w:ascii="DejaVu Sans" w:hAnsi="DejaVu Sans" w:cs="DejaVu Sans"/>
                <w:b w:val="0"/>
                <w:color w:val="171A1F"/>
                <w:sz w:val="18"/>
              </w:rPr>
              <w:t>وسيط المتابعين؛ أدق من المتوسط بسبب تفوق صفحة إقليمية ضخمة</w:t>
            </w:r>
          </w:p>
        </w:tc>
      </w:tr>
      <w:tr>
        <w:tc>
          <w:tcPr>
            <w:tcW w:type="dxa" w:w="1800"/>
            <w:vAlign w:val="center"/>
          </w:tcPr>
          <w:p>
            <w:pPr>
              <w:jc w:val="right"/>
              <w:bidi w:val="1"/>
            </w:pPr>
            <w:r>
              <w:rPr>
                <w:rFonts w:ascii="DejaVu Sans" w:hAnsi="DejaVu Sans" w:cs="DejaVu Sans"/>
                <w:b w:val="0"/>
                <w:color w:val="171A1F"/>
                <w:sz w:val="18"/>
              </w:rPr>
              <w:t>75.9%</w:t>
            </w:r>
          </w:p>
        </w:tc>
        <w:tc>
          <w:tcPr>
            <w:tcW w:type="dxa" w:w="7320"/>
            <w:vAlign w:val="center"/>
          </w:tcPr>
          <w:p>
            <w:pPr>
              <w:jc w:val="center"/>
              <w:bidi w:val="1"/>
            </w:pPr>
            <w:r>
              <w:rPr>
                <w:rFonts w:ascii="DejaVu Sans" w:hAnsi="DejaVu Sans" w:cs="DejaVu Sans"/>
                <w:b w:val="0"/>
                <w:color w:val="171A1F"/>
                <w:sz w:val="18"/>
              </w:rPr>
              <w:t>حصة أكبر ثلاث صفحات من إجمالي جمهور العينة</w:t>
            </w:r>
          </w:p>
        </w:tc>
      </w:tr>
      <w:tr>
        <w:tc>
          <w:tcPr>
            <w:tcW w:type="dxa" w:w="1800"/>
            <w:vAlign w:val="center"/>
            <w:shd w:fill="F7F8FA"/>
          </w:tcPr>
          <w:p>
            <w:pPr>
              <w:jc w:val="right"/>
              <w:bidi w:val="1"/>
            </w:pPr>
            <w:r>
              <w:rPr>
                <w:rFonts w:ascii="DejaVu Sans" w:hAnsi="DejaVu Sans" w:cs="DejaVu Sans"/>
                <w:b w:val="0"/>
                <w:color w:val="171A1F"/>
                <w:sz w:val="18"/>
              </w:rPr>
              <w:t>54×</w:t>
            </w:r>
          </w:p>
        </w:tc>
        <w:tc>
          <w:tcPr>
            <w:tcW w:type="dxa" w:w="7320"/>
            <w:vAlign w:val="center"/>
            <w:shd w:fill="F7F8FA"/>
          </w:tcPr>
          <w:p>
            <w:pPr>
              <w:jc w:val="center"/>
              <w:bidi w:val="1"/>
            </w:pPr>
            <w:r>
              <w:rPr>
                <w:rFonts w:ascii="DejaVu Sans" w:hAnsi="DejaVu Sans" w:cs="DejaVu Sans"/>
                <w:b w:val="0"/>
                <w:color w:val="171A1F"/>
                <w:sz w:val="18"/>
              </w:rPr>
              <w:t>الفارق بين أكبر وأصغر صفحة في العينة</w:t>
            </w:r>
          </w:p>
        </w:tc>
      </w:tr>
      <w:tr>
        <w:tc>
          <w:tcPr>
            <w:tcW w:type="dxa" w:w="1800"/>
            <w:vAlign w:val="center"/>
          </w:tcPr>
          <w:p>
            <w:pPr>
              <w:jc w:val="right"/>
              <w:bidi w:val="1"/>
            </w:pPr>
            <w:r>
              <w:rPr>
                <w:rFonts w:ascii="DejaVu Sans" w:hAnsi="DejaVu Sans" w:cs="DejaVu Sans"/>
                <w:b w:val="0"/>
                <w:color w:val="171A1F"/>
                <w:sz w:val="18"/>
              </w:rPr>
              <w:t>99.0%</w:t>
            </w:r>
          </w:p>
        </w:tc>
        <w:tc>
          <w:tcPr>
            <w:tcW w:type="dxa" w:w="7320"/>
            <w:vAlign w:val="center"/>
          </w:tcPr>
          <w:p>
            <w:pPr>
              <w:jc w:val="center"/>
              <w:bidi w:val="1"/>
            </w:pPr>
            <w:r>
              <w:rPr>
                <w:rFonts w:ascii="DejaVu Sans" w:hAnsi="DejaVu Sans" w:cs="DejaVu Sans"/>
                <w:b w:val="0"/>
                <w:color w:val="171A1F"/>
                <w:sz w:val="18"/>
              </w:rPr>
              <w:t>انتشار استخدام الإنترنت بين الأفراد في المملكة وفق إحصاءات 2025</w:t>
            </w:r>
          </w:p>
        </w:tc>
      </w:tr>
      <w:tr>
        <w:tc>
          <w:tcPr>
            <w:tcW w:type="dxa" w:w="1800"/>
            <w:vAlign w:val="center"/>
            <w:shd w:fill="F7F8FA"/>
          </w:tcPr>
          <w:p>
            <w:pPr>
              <w:jc w:val="right"/>
              <w:bidi w:val="1"/>
            </w:pPr>
            <w:r>
              <w:rPr>
                <w:rFonts w:ascii="DejaVu Sans" w:hAnsi="DejaVu Sans" w:cs="DejaVu Sans"/>
                <w:b w:val="0"/>
                <w:color w:val="171A1F"/>
                <w:sz w:val="18"/>
              </w:rPr>
              <w:t>66.3%</w:t>
            </w:r>
          </w:p>
        </w:tc>
        <w:tc>
          <w:tcPr>
            <w:tcW w:type="dxa" w:w="7320"/>
            <w:vAlign w:val="center"/>
            <w:shd w:fill="F7F8FA"/>
          </w:tcPr>
          <w:p>
            <w:pPr>
              <w:jc w:val="center"/>
              <w:bidi w:val="1"/>
            </w:pPr>
            <w:r>
              <w:rPr>
                <w:rFonts w:ascii="DejaVu Sans" w:hAnsi="DejaVu Sans" w:cs="DejaVu Sans"/>
                <w:b w:val="0"/>
                <w:color w:val="171A1F"/>
                <w:sz w:val="18"/>
              </w:rPr>
              <w:t>نسبة المنشآت المستخدمة لمنصات التواصل في 2025</w:t>
            </w:r>
          </w:p>
        </w:tc>
      </w:tr>
      <w:tr>
        <w:tc>
          <w:tcPr>
            <w:tcW w:type="dxa" w:w="1800"/>
            <w:vAlign w:val="center"/>
          </w:tcPr>
          <w:p>
            <w:pPr>
              <w:jc w:val="right"/>
              <w:bidi w:val="1"/>
            </w:pPr>
            <w:r>
              <w:rPr>
                <w:rFonts w:ascii="DejaVu Sans" w:hAnsi="DejaVu Sans" w:cs="DejaVu Sans"/>
                <w:b w:val="0"/>
                <w:color w:val="171A1F"/>
                <w:sz w:val="18"/>
              </w:rPr>
              <w:t>52.3%</w:t>
            </w:r>
          </w:p>
        </w:tc>
        <w:tc>
          <w:tcPr>
            <w:tcW w:type="dxa" w:w="7320"/>
            <w:vAlign w:val="center"/>
          </w:tcPr>
          <w:p>
            <w:pPr>
              <w:jc w:val="center"/>
              <w:bidi w:val="1"/>
            </w:pPr>
            <w:r>
              <w:rPr>
                <w:rFonts w:ascii="DejaVu Sans" w:hAnsi="DejaVu Sans" w:cs="DejaVu Sans"/>
                <w:b w:val="0"/>
                <w:color w:val="171A1F"/>
                <w:sz w:val="18"/>
              </w:rPr>
              <w:t>نسبة المنشآت التي تعلن منتجاتها عبر التواصل الاجتماعي في 2025</w:t>
            </w:r>
          </w:p>
        </w:tc>
      </w:tr>
    </w:tbl>
    <w:p>
      <w:pPr>
        <w:spacing w:after="60"/>
      </w:pPr>
    </w:p>
    <w:p>
      <w:pPr>
        <w:spacing w:before="0" w:after="120" w:line="283" w:lineRule="auto"/>
        <w:jc w:val="right"/>
        <w:bidi w:val="1"/>
      </w:pPr>
      <w:r>
        <w:rPr>
          <w:rFonts w:ascii="DejaVu Sans" w:hAnsi="DejaVu Sans" w:cs="DejaVu Sans"/>
          <w:b w:val="0"/>
          <w:color w:val="5E6672"/>
          <w:sz w:val="15"/>
        </w:rPr>
        <w:t>المصادر: [3]، [4]، [11]، [12]، [13]، [14]، [15]، [16]، [17]، [18]، [19]، [20]، [21]، [22]</w:t>
      </w:r>
    </w:p>
    <w:p>
      <w:pPr>
        <w:pStyle w:val="Heading2"/>
        <w:jc w:val="right"/>
        <w:bidi w:val="1"/>
      </w:pPr>
      <w:r>
        <w:t>أفضل النماذج التي ينبغي تقليد عناصرها</w:t>
      </w:r>
    </w:p>
    <w:tbl>
      <w:tblPr>
        <w:tblStyle w:val="TableGrid"/>
        <w:tblW w:type="dxa" w:w="9120"/>
        <w:jc w:val="center"/>
        <w:tblLayout w:type="fixed"/>
        <w:tblLook w:firstColumn="1" w:firstRow="1" w:lastColumn="0" w:lastRow="0" w:noHBand="0" w:noVBand="1" w:val="04A0"/>
        <w:tblInd w:w="120" w:type="dxa"/>
      </w:tblPr>
      <w:tblGrid>
        <w:gridCol w:w="1900"/>
        <w:gridCol w:w="2200"/>
        <w:gridCol w:w="5020"/>
      </w:tblGrid>
      <w:tr>
        <w:trPr>
          <w:tblHeader/>
        </w:trPr>
        <w:tc>
          <w:tcPr>
            <w:tcW w:type="dxa" w:w="190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7"/>
              </w:rPr>
              <w:t>الهدف</w:t>
            </w:r>
          </w:p>
        </w:tc>
        <w:tc>
          <w:tcPr>
            <w:tcW w:type="dxa" w:w="220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7"/>
              </w:rPr>
              <w:t>المرجع الأقوى</w:t>
            </w:r>
          </w:p>
        </w:tc>
        <w:tc>
          <w:tcPr>
            <w:tcW w:type="dxa" w:w="502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7"/>
              </w:rPr>
              <w:t>ما الذي يُقتبس منه</w:t>
            </w:r>
          </w:p>
        </w:tc>
      </w:tr>
      <w:tr>
        <w:tc>
          <w:tcPr>
            <w:tcW w:type="dxa" w:w="1900"/>
            <w:vAlign w:val="center"/>
          </w:tcPr>
          <w:p>
            <w:pPr>
              <w:jc w:val="right"/>
              <w:bidi w:val="1"/>
            </w:pPr>
            <w:r>
              <w:rPr>
                <w:rFonts w:ascii="DejaVu Sans" w:hAnsi="DejaVu Sans" w:cs="DejaVu Sans"/>
                <w:b w:val="0"/>
                <w:color w:val="171A1F"/>
                <w:sz w:val="17"/>
              </w:rPr>
              <w:t>الوصول الواسع</w:t>
            </w:r>
          </w:p>
        </w:tc>
        <w:tc>
          <w:tcPr>
            <w:tcW w:type="dxa" w:w="2200"/>
            <w:vAlign w:val="center"/>
          </w:tcPr>
          <w:p>
            <w:pPr>
              <w:jc w:val="center"/>
              <w:bidi w:val="1"/>
            </w:pPr>
            <w:r>
              <w:rPr>
                <w:rFonts w:ascii="DejaVu Sans" w:hAnsi="DejaVu Sans" w:cs="DejaVu Sans"/>
                <w:b w:val="0"/>
                <w:color w:val="171A1F"/>
                <w:sz w:val="17"/>
              </w:rPr>
              <w:t>إياد رضا</w:t>
            </w:r>
          </w:p>
        </w:tc>
        <w:tc>
          <w:tcPr>
            <w:tcW w:type="dxa" w:w="5020"/>
            <w:vAlign w:val="center"/>
          </w:tcPr>
          <w:p>
            <w:pPr>
              <w:jc w:val="center"/>
              <w:bidi w:val="1"/>
            </w:pPr>
            <w:r>
              <w:rPr>
                <w:rFonts w:ascii="DejaVu Sans" w:hAnsi="DejaVu Sans" w:cs="DejaVu Sans"/>
                <w:b w:val="0"/>
                <w:color w:val="171A1F"/>
                <w:sz w:val="17"/>
              </w:rPr>
              <w:t>كثافة النشر، ثنائية اللغة، الثقافة المؤسسية، توسيع الموضوعات</w:t>
            </w:r>
          </w:p>
        </w:tc>
      </w:tr>
      <w:tr>
        <w:tc>
          <w:tcPr>
            <w:tcW w:type="dxa" w:w="1900"/>
            <w:vAlign w:val="center"/>
            <w:shd w:fill="F7F8FA"/>
          </w:tcPr>
          <w:p>
            <w:pPr>
              <w:jc w:val="right"/>
              <w:bidi w:val="1"/>
            </w:pPr>
            <w:r>
              <w:rPr>
                <w:rFonts w:ascii="DejaVu Sans" w:hAnsi="DejaVu Sans" w:cs="DejaVu Sans"/>
                <w:b w:val="0"/>
                <w:color w:val="171A1F"/>
                <w:sz w:val="17"/>
              </w:rPr>
              <w:t>السلطة المهنية</w:t>
            </w:r>
          </w:p>
        </w:tc>
        <w:tc>
          <w:tcPr>
            <w:tcW w:type="dxa" w:w="2200"/>
            <w:vAlign w:val="center"/>
            <w:shd w:fill="F7F8FA"/>
          </w:tcPr>
          <w:p>
            <w:pPr>
              <w:jc w:val="center"/>
              <w:bidi w:val="1"/>
            </w:pPr>
            <w:r>
              <w:rPr>
                <w:rFonts w:ascii="DejaVu Sans" w:hAnsi="DejaVu Sans" w:cs="DejaVu Sans"/>
                <w:b w:val="0"/>
                <w:color w:val="171A1F"/>
                <w:sz w:val="17"/>
              </w:rPr>
              <w:t>الخُشيم / AS&amp;H</w:t>
            </w:r>
          </w:p>
        </w:tc>
        <w:tc>
          <w:tcPr>
            <w:tcW w:type="dxa" w:w="5020"/>
            <w:vAlign w:val="center"/>
            <w:shd w:fill="F7F8FA"/>
          </w:tcPr>
          <w:p>
            <w:pPr>
              <w:jc w:val="center"/>
              <w:bidi w:val="1"/>
            </w:pPr>
            <w:r>
              <w:rPr>
                <w:rFonts w:ascii="DejaVu Sans" w:hAnsi="DejaVu Sans" w:cs="DejaVu Sans"/>
                <w:b w:val="0"/>
                <w:color w:val="171A1F"/>
                <w:sz w:val="17"/>
              </w:rPr>
              <w:t>الجوائز والتصنيفات والصفقات وتعليقات الشركاء</w:t>
            </w:r>
          </w:p>
        </w:tc>
      </w:tr>
      <w:tr>
        <w:tc>
          <w:tcPr>
            <w:tcW w:type="dxa" w:w="1900"/>
            <w:vAlign w:val="center"/>
          </w:tcPr>
          <w:p>
            <w:pPr>
              <w:jc w:val="right"/>
              <w:bidi w:val="1"/>
            </w:pPr>
            <w:r>
              <w:rPr>
                <w:rFonts w:ascii="DejaVu Sans" w:hAnsi="DejaVu Sans" w:cs="DejaVu Sans"/>
                <w:b w:val="0"/>
                <w:color w:val="171A1F"/>
                <w:sz w:val="17"/>
              </w:rPr>
              <w:t>تحويل المعرفة إلى فرص</w:t>
            </w:r>
          </w:p>
        </w:tc>
        <w:tc>
          <w:tcPr>
            <w:tcW w:type="dxa" w:w="2200"/>
            <w:vAlign w:val="center"/>
          </w:tcPr>
          <w:p>
            <w:pPr>
              <w:jc w:val="center"/>
              <w:bidi w:val="1"/>
            </w:pPr>
            <w:r>
              <w:rPr>
                <w:rFonts w:ascii="DejaVu Sans" w:hAnsi="DejaVu Sans" w:cs="DejaVu Sans"/>
                <w:b w:val="0"/>
                <w:color w:val="171A1F"/>
                <w:sz w:val="17"/>
              </w:rPr>
              <w:t>Z&amp;Co.</w:t>
            </w:r>
          </w:p>
        </w:tc>
        <w:tc>
          <w:tcPr>
            <w:tcW w:type="dxa" w:w="5020"/>
            <w:vAlign w:val="center"/>
          </w:tcPr>
          <w:p>
            <w:pPr>
              <w:jc w:val="center"/>
              <w:bidi w:val="1"/>
            </w:pPr>
            <w:r>
              <w:rPr>
                <w:rFonts w:ascii="DejaVu Sans" w:hAnsi="DejaVu Sans" w:cs="DejaVu Sans"/>
                <w:b w:val="0"/>
                <w:color w:val="171A1F"/>
                <w:sz w:val="17"/>
              </w:rPr>
              <w:t>تحديث تنظيمي → ندوة → تسجيل → متابعة</w:t>
            </w:r>
          </w:p>
        </w:tc>
      </w:tr>
      <w:tr>
        <w:tc>
          <w:tcPr>
            <w:tcW w:type="dxa" w:w="1900"/>
            <w:vAlign w:val="center"/>
            <w:shd w:fill="F7F8FA"/>
          </w:tcPr>
          <w:p>
            <w:pPr>
              <w:jc w:val="right"/>
              <w:bidi w:val="1"/>
            </w:pPr>
            <w:r>
              <w:rPr>
                <w:rFonts w:ascii="DejaVu Sans" w:hAnsi="DejaVu Sans" w:cs="DejaVu Sans"/>
                <w:b w:val="0"/>
                <w:color w:val="171A1F"/>
                <w:sz w:val="17"/>
              </w:rPr>
              <w:t>منصة معرفة طويلة الأجل</w:t>
            </w:r>
          </w:p>
        </w:tc>
        <w:tc>
          <w:tcPr>
            <w:tcW w:type="dxa" w:w="2200"/>
            <w:vAlign w:val="center"/>
            <w:shd w:fill="F7F8FA"/>
          </w:tcPr>
          <w:p>
            <w:pPr>
              <w:jc w:val="center"/>
              <w:bidi w:val="1"/>
            </w:pPr>
            <w:r>
              <w:rPr>
                <w:rFonts w:ascii="DejaVu Sans" w:hAnsi="DejaVu Sans" w:cs="DejaVu Sans"/>
                <w:b w:val="0"/>
                <w:color w:val="171A1F"/>
                <w:sz w:val="17"/>
              </w:rPr>
              <w:t>التميمي</w:t>
            </w:r>
          </w:p>
        </w:tc>
        <w:tc>
          <w:tcPr>
            <w:tcW w:type="dxa" w:w="5020"/>
            <w:vAlign w:val="center"/>
            <w:shd w:fill="F7F8FA"/>
          </w:tcPr>
          <w:p>
            <w:pPr>
              <w:jc w:val="center"/>
              <w:bidi w:val="1"/>
            </w:pPr>
            <w:r>
              <w:rPr>
                <w:rFonts w:ascii="DejaVu Sans" w:hAnsi="DejaVu Sans" w:cs="DejaVu Sans"/>
                <w:b w:val="0"/>
                <w:color w:val="171A1F"/>
                <w:sz w:val="17"/>
              </w:rPr>
              <w:t>نشرة، مقالات متخصصة، توزيع عبر شبكة محامين</w:t>
            </w:r>
          </w:p>
        </w:tc>
      </w:tr>
      <w:tr>
        <w:tc>
          <w:tcPr>
            <w:tcW w:type="dxa" w:w="1900"/>
            <w:vAlign w:val="center"/>
          </w:tcPr>
          <w:p>
            <w:pPr>
              <w:jc w:val="right"/>
              <w:bidi w:val="1"/>
            </w:pPr>
            <w:r>
              <w:rPr>
                <w:rFonts w:ascii="DejaVu Sans" w:hAnsi="DejaVu Sans" w:cs="DejaVu Sans"/>
                <w:b w:val="0"/>
                <w:color w:val="171A1F"/>
                <w:sz w:val="17"/>
              </w:rPr>
              <w:t>تموضع تخصصي سريع</w:t>
            </w:r>
          </w:p>
        </w:tc>
        <w:tc>
          <w:tcPr>
            <w:tcW w:type="dxa" w:w="2200"/>
            <w:vAlign w:val="center"/>
          </w:tcPr>
          <w:p>
            <w:pPr>
              <w:jc w:val="center"/>
              <w:bidi w:val="1"/>
            </w:pPr>
            <w:r>
              <w:rPr>
                <w:rFonts w:ascii="DejaVu Sans" w:hAnsi="DejaVu Sans" w:cs="DejaVu Sans"/>
                <w:b w:val="0"/>
                <w:color w:val="171A1F"/>
                <w:sz w:val="17"/>
              </w:rPr>
              <w:t>SuhailPartners / قيصر متولي</w:t>
            </w:r>
          </w:p>
        </w:tc>
        <w:tc>
          <w:tcPr>
            <w:tcW w:type="dxa" w:w="5020"/>
            <w:vAlign w:val="center"/>
          </w:tcPr>
          <w:p>
            <w:pPr>
              <w:jc w:val="center"/>
              <w:bidi w:val="1"/>
            </w:pPr>
            <w:r>
              <w:rPr>
                <w:rFonts w:ascii="DejaVu Sans" w:hAnsi="DejaVu Sans" w:cs="DejaVu Sans"/>
                <w:b w:val="0"/>
                <w:color w:val="171A1F"/>
                <w:sz w:val="17"/>
              </w:rPr>
              <w:t>زاوية سوق محددة وأرقام أعمال ورسالة واضحة</w:t>
            </w:r>
          </w:p>
        </w:tc>
      </w:tr>
    </w:tbl>
    <w:p>
      <w:pPr>
        <w:spacing w:after="60"/>
      </w:pPr>
    </w:p>
    <w:p>
      <w:r>
        <w:br w:type="page"/>
      </w:r>
    </w:p>
    <w:p>
      <w:pPr>
        <w:pStyle w:val="Heading1"/>
        <w:jc w:val="right"/>
        <w:bidi w:val="1"/>
      </w:pPr>
      <w:r>
        <w:t>1. المنهجية وحدود الدقة</w:t>
      </w:r>
    </w:p>
    <w:p>
      <w:pPr>
        <w:spacing w:before="0" w:after="100" w:line="283" w:lineRule="auto"/>
        <w:jc w:val="right"/>
        <w:bidi w:val="1"/>
      </w:pPr>
      <w:r>
        <w:rPr>
          <w:rFonts w:ascii="DejaVu Sans" w:hAnsi="DejaVu Sans" w:cs="DejaVu Sans"/>
          <w:b w:val="0"/>
          <w:color w:val="171A1F"/>
          <w:sz w:val="20"/>
        </w:rPr>
        <w:t>هذه دراسة رصد مكتبي تنافسي مبنية على البيانات العامة القابلة للتحقق حتى 23 يوليو 2026. لا تدّعي معرفة بيانات العملاء المحتملين أو العقود أو الميزانيات الداخلية للمنافسين؛ لذلك فـ«أفضل النتائج» قيسَت بمؤشرات عامة بديلة، لا بالإيرادات.</w:t>
      </w:r>
    </w:p>
    <w:p>
      <w:pPr>
        <w:pStyle w:val="Heading2"/>
        <w:jc w:val="right"/>
        <w:bidi w:val="1"/>
      </w:pPr>
      <w:r>
        <w:t>وحدة التحليل</w:t>
      </w:r>
    </w:p>
    <w:p>
      <w:pPr>
        <w:pStyle w:val="ListBullet"/>
        <w:spacing w:after="60"/>
        <w:jc w:val="right"/>
        <w:bidi w:val="1"/>
      </w:pPr>
      <w:r>
        <w:rPr>
          <w:rFonts w:ascii="DejaVu Sans" w:hAnsi="DejaVu Sans" w:cs="DejaVu Sans"/>
          <w:b w:val="0"/>
          <w:color w:val="171A1F"/>
          <w:sz w:val="19"/>
        </w:rPr>
        <w:t>12 مكتبًا/شركة قانونية ذات حضور فعلي أو علامة نشطة في السوق السعودي.</w:t>
      </w:r>
    </w:p>
    <w:p>
      <w:pPr>
        <w:pStyle w:val="ListBullet"/>
        <w:spacing w:after="60"/>
        <w:jc w:val="right"/>
        <w:bidi w:val="1"/>
      </w:pPr>
      <w:r>
        <w:rPr>
          <w:rFonts w:ascii="DejaVu Sans" w:hAnsi="DejaVu Sans" w:cs="DejaVu Sans"/>
          <w:b w:val="0"/>
          <w:color w:val="171A1F"/>
          <w:sz w:val="19"/>
        </w:rPr>
        <w:t>LinkedIn هو محور القياس المقارن لأنه المنصة الوحيدة التي تُظهر أرقام جمهور الشركات علنًا بصورة متسقة نسبيًا، وهو الأقرب لمشتري الخدمات القانونية المؤسسية.</w:t>
      </w:r>
    </w:p>
    <w:p>
      <w:pPr>
        <w:pStyle w:val="ListBullet"/>
        <w:spacing w:after="60"/>
        <w:jc w:val="right"/>
        <w:bidi w:val="1"/>
      </w:pPr>
      <w:r>
        <w:rPr>
          <w:rFonts w:ascii="DejaVu Sans" w:hAnsi="DejaVu Sans" w:cs="DejaVu Sans"/>
          <w:b w:val="0"/>
          <w:color w:val="171A1F"/>
          <w:sz w:val="19"/>
        </w:rPr>
        <w:t>تم فحص: الصفحة، حداثة المنشورات الظاهرة، أنواع المحتوى، اللغة، إبراز الشركاء، الندوات، الأخبار، التصنيفات، والروابط إلى أصول معرفية.</w:t>
      </w:r>
    </w:p>
    <w:p>
      <w:pPr>
        <w:pStyle w:val="Heading2"/>
        <w:jc w:val="right"/>
        <w:bidi w:val="1"/>
      </w:pPr>
      <w:r>
        <w:t>نموذج النقاط / 100</w:t>
      </w:r>
    </w:p>
    <w:tbl>
      <w:tblPr>
        <w:tblStyle w:val="TableGrid"/>
        <w:tblW w:type="dxa" w:w="9120"/>
        <w:jc w:val="center"/>
        <w:tblLayout w:type="fixed"/>
        <w:tblLook w:firstColumn="1" w:firstRow="1" w:lastColumn="0" w:lastRow="0" w:noHBand="0" w:noVBand="1" w:val="04A0"/>
        <w:tblInd w:w="120" w:type="dxa"/>
      </w:tblPr>
      <w:tblGrid>
        <w:gridCol w:w="2200"/>
        <w:gridCol w:w="1100"/>
        <w:gridCol w:w="5820"/>
      </w:tblGrid>
      <w:tr>
        <w:trPr>
          <w:tblHeader/>
        </w:trPr>
        <w:tc>
          <w:tcPr>
            <w:tcW w:type="dxa" w:w="220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7"/>
              </w:rPr>
              <w:t>المحور</w:t>
            </w:r>
          </w:p>
        </w:tc>
        <w:tc>
          <w:tcPr>
            <w:tcW w:type="dxa" w:w="110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7"/>
              </w:rPr>
              <w:t>الوزن</w:t>
            </w:r>
          </w:p>
        </w:tc>
        <w:tc>
          <w:tcPr>
            <w:tcW w:type="dxa" w:w="582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7"/>
              </w:rPr>
              <w:t>طريقة الترميز</w:t>
            </w:r>
          </w:p>
        </w:tc>
      </w:tr>
      <w:tr>
        <w:tc>
          <w:tcPr>
            <w:tcW w:type="dxa" w:w="2200"/>
            <w:vAlign w:val="center"/>
          </w:tcPr>
          <w:p>
            <w:pPr>
              <w:jc w:val="right"/>
              <w:bidi w:val="1"/>
            </w:pPr>
            <w:r>
              <w:rPr>
                <w:rFonts w:ascii="DejaVu Sans" w:hAnsi="DejaVu Sans" w:cs="DejaVu Sans"/>
                <w:b w:val="0"/>
                <w:color w:val="171A1F"/>
                <w:sz w:val="17"/>
              </w:rPr>
              <w:t>حجم الجمهور</w:t>
            </w:r>
          </w:p>
        </w:tc>
        <w:tc>
          <w:tcPr>
            <w:tcW w:type="dxa" w:w="1100"/>
            <w:vAlign w:val="center"/>
          </w:tcPr>
          <w:p>
            <w:pPr>
              <w:jc w:val="center"/>
              <w:bidi w:val="1"/>
            </w:pPr>
            <w:r>
              <w:rPr>
                <w:rFonts w:ascii="DejaVu Sans" w:hAnsi="DejaVu Sans" w:cs="DejaVu Sans"/>
                <w:b w:val="0"/>
                <w:color w:val="171A1F"/>
                <w:sz w:val="17"/>
              </w:rPr>
              <w:t>25</w:t>
            </w:r>
          </w:p>
        </w:tc>
        <w:tc>
          <w:tcPr>
            <w:tcW w:type="dxa" w:w="5820"/>
            <w:vAlign w:val="center"/>
          </w:tcPr>
          <w:p>
            <w:pPr>
              <w:jc w:val="center"/>
              <w:bidi w:val="1"/>
            </w:pPr>
            <w:r>
              <w:rPr>
                <w:rFonts w:ascii="DejaVu Sans" w:hAnsi="DejaVu Sans" w:cs="DejaVu Sans"/>
                <w:b w:val="0"/>
                <w:color w:val="171A1F"/>
                <w:sz w:val="17"/>
              </w:rPr>
              <w:t>مقياس لوغاريتمي؛ يمنع الصفحة الإقليمية الضخمة من ابتلاع المقارنة</w:t>
            </w:r>
          </w:p>
        </w:tc>
      </w:tr>
      <w:tr>
        <w:tc>
          <w:tcPr>
            <w:tcW w:type="dxa" w:w="2200"/>
            <w:vAlign w:val="center"/>
            <w:shd w:fill="F7F8FA"/>
          </w:tcPr>
          <w:p>
            <w:pPr>
              <w:jc w:val="right"/>
              <w:bidi w:val="1"/>
            </w:pPr>
            <w:r>
              <w:rPr>
                <w:rFonts w:ascii="DejaVu Sans" w:hAnsi="DejaVu Sans" w:cs="DejaVu Sans"/>
                <w:b w:val="0"/>
                <w:color w:val="171A1F"/>
                <w:sz w:val="17"/>
              </w:rPr>
              <w:t>النشاط والانتظام</w:t>
            </w:r>
          </w:p>
        </w:tc>
        <w:tc>
          <w:tcPr>
            <w:tcW w:type="dxa" w:w="1100"/>
            <w:vAlign w:val="center"/>
            <w:shd w:fill="F7F8FA"/>
          </w:tcPr>
          <w:p>
            <w:pPr>
              <w:jc w:val="center"/>
              <w:bidi w:val="1"/>
            </w:pPr>
            <w:r>
              <w:rPr>
                <w:rFonts w:ascii="DejaVu Sans" w:hAnsi="DejaVu Sans" w:cs="DejaVu Sans"/>
                <w:b w:val="0"/>
                <w:color w:val="171A1F"/>
                <w:sz w:val="17"/>
              </w:rPr>
              <w:t>20</w:t>
            </w:r>
          </w:p>
        </w:tc>
        <w:tc>
          <w:tcPr>
            <w:tcW w:type="dxa" w:w="5820"/>
            <w:vAlign w:val="center"/>
            <w:shd w:fill="F7F8FA"/>
          </w:tcPr>
          <w:p>
            <w:pPr>
              <w:jc w:val="center"/>
              <w:bidi w:val="1"/>
            </w:pPr>
            <w:r>
              <w:rPr>
                <w:rFonts w:ascii="DejaVu Sans" w:hAnsi="DejaVu Sans" w:cs="DejaVu Sans"/>
                <w:b w:val="0"/>
                <w:color w:val="171A1F"/>
                <w:sz w:val="17"/>
              </w:rPr>
              <w:t>حداثة وتواتر ظاهر + تعدد صيغ النشر</w:t>
            </w:r>
          </w:p>
        </w:tc>
      </w:tr>
      <w:tr>
        <w:tc>
          <w:tcPr>
            <w:tcW w:type="dxa" w:w="2200"/>
            <w:vAlign w:val="center"/>
          </w:tcPr>
          <w:p>
            <w:pPr>
              <w:jc w:val="right"/>
              <w:bidi w:val="1"/>
            </w:pPr>
            <w:r>
              <w:rPr>
                <w:rFonts w:ascii="DejaVu Sans" w:hAnsi="DejaVu Sans" w:cs="DejaVu Sans"/>
                <w:b w:val="0"/>
                <w:color w:val="171A1F"/>
                <w:sz w:val="17"/>
              </w:rPr>
              <w:t>إثبات السلطة</w:t>
            </w:r>
          </w:p>
        </w:tc>
        <w:tc>
          <w:tcPr>
            <w:tcW w:type="dxa" w:w="1100"/>
            <w:vAlign w:val="center"/>
          </w:tcPr>
          <w:p>
            <w:pPr>
              <w:jc w:val="center"/>
              <w:bidi w:val="1"/>
            </w:pPr>
            <w:r>
              <w:rPr>
                <w:rFonts w:ascii="DejaVu Sans" w:hAnsi="DejaVu Sans" w:cs="DejaVu Sans"/>
                <w:b w:val="0"/>
                <w:color w:val="171A1F"/>
                <w:sz w:val="17"/>
              </w:rPr>
              <w:t>25</w:t>
            </w:r>
          </w:p>
        </w:tc>
        <w:tc>
          <w:tcPr>
            <w:tcW w:type="dxa" w:w="5820"/>
            <w:vAlign w:val="center"/>
          </w:tcPr>
          <w:p>
            <w:pPr>
              <w:jc w:val="center"/>
              <w:bidi w:val="1"/>
            </w:pPr>
            <w:r>
              <w:rPr>
                <w:rFonts w:ascii="DejaVu Sans" w:hAnsi="DejaVu Sans" w:cs="DejaVu Sans"/>
                <w:b w:val="0"/>
                <w:color w:val="171A1F"/>
                <w:sz w:val="17"/>
              </w:rPr>
              <w:t>Chambers / Legal 500 / جوائز / صفقات وأعمال موثقة</w:t>
            </w:r>
          </w:p>
        </w:tc>
      </w:tr>
      <w:tr>
        <w:tc>
          <w:tcPr>
            <w:tcW w:type="dxa" w:w="2200"/>
            <w:vAlign w:val="center"/>
            <w:shd w:fill="F7F8FA"/>
          </w:tcPr>
          <w:p>
            <w:pPr>
              <w:jc w:val="right"/>
              <w:bidi w:val="1"/>
            </w:pPr>
            <w:r>
              <w:rPr>
                <w:rFonts w:ascii="DejaVu Sans" w:hAnsi="DejaVu Sans" w:cs="DejaVu Sans"/>
                <w:b w:val="0"/>
                <w:color w:val="171A1F"/>
                <w:sz w:val="17"/>
              </w:rPr>
              <w:t>القيادة الفكرية</w:t>
            </w:r>
          </w:p>
        </w:tc>
        <w:tc>
          <w:tcPr>
            <w:tcW w:type="dxa" w:w="1100"/>
            <w:vAlign w:val="center"/>
            <w:shd w:fill="F7F8FA"/>
          </w:tcPr>
          <w:p>
            <w:pPr>
              <w:jc w:val="center"/>
              <w:bidi w:val="1"/>
            </w:pPr>
            <w:r>
              <w:rPr>
                <w:rFonts w:ascii="DejaVu Sans" w:hAnsi="DejaVu Sans" w:cs="DejaVu Sans"/>
                <w:b w:val="0"/>
                <w:color w:val="171A1F"/>
                <w:sz w:val="17"/>
              </w:rPr>
              <w:t>20</w:t>
            </w:r>
          </w:p>
        </w:tc>
        <w:tc>
          <w:tcPr>
            <w:tcW w:type="dxa" w:w="5820"/>
            <w:vAlign w:val="center"/>
            <w:shd w:fill="F7F8FA"/>
          </w:tcPr>
          <w:p>
            <w:pPr>
              <w:jc w:val="center"/>
              <w:bidi w:val="1"/>
            </w:pPr>
            <w:r>
              <w:rPr>
                <w:rFonts w:ascii="DejaVu Sans" w:hAnsi="DejaVu Sans" w:cs="DejaVu Sans"/>
                <w:b w:val="0"/>
                <w:color w:val="171A1F"/>
                <w:sz w:val="17"/>
              </w:rPr>
              <w:t>تحديثات أنظمة، مقالات، ندوات، أدلة قابلة للاستخدام</w:t>
            </w:r>
          </w:p>
        </w:tc>
      </w:tr>
      <w:tr>
        <w:tc>
          <w:tcPr>
            <w:tcW w:type="dxa" w:w="2200"/>
            <w:vAlign w:val="center"/>
          </w:tcPr>
          <w:p>
            <w:pPr>
              <w:jc w:val="right"/>
              <w:bidi w:val="1"/>
            </w:pPr>
            <w:r>
              <w:rPr>
                <w:rFonts w:ascii="DejaVu Sans" w:hAnsi="DejaVu Sans" w:cs="DejaVu Sans"/>
                <w:b w:val="0"/>
                <w:color w:val="171A1F"/>
                <w:sz w:val="17"/>
              </w:rPr>
              <w:t>البعد الإنساني</w:t>
            </w:r>
          </w:p>
        </w:tc>
        <w:tc>
          <w:tcPr>
            <w:tcW w:type="dxa" w:w="1100"/>
            <w:vAlign w:val="center"/>
          </w:tcPr>
          <w:p>
            <w:pPr>
              <w:jc w:val="center"/>
              <w:bidi w:val="1"/>
            </w:pPr>
            <w:r>
              <w:rPr>
                <w:rFonts w:ascii="DejaVu Sans" w:hAnsi="DejaVu Sans" w:cs="DejaVu Sans"/>
                <w:b w:val="0"/>
                <w:color w:val="171A1F"/>
                <w:sz w:val="17"/>
              </w:rPr>
              <w:t>10</w:t>
            </w:r>
          </w:p>
        </w:tc>
        <w:tc>
          <w:tcPr>
            <w:tcW w:type="dxa" w:w="5820"/>
            <w:vAlign w:val="center"/>
          </w:tcPr>
          <w:p>
            <w:pPr>
              <w:jc w:val="center"/>
              <w:bidi w:val="1"/>
            </w:pPr>
            <w:r>
              <w:rPr>
                <w:rFonts w:ascii="DejaVu Sans" w:hAnsi="DejaVu Sans" w:cs="DejaVu Sans"/>
                <w:b w:val="0"/>
                <w:color w:val="171A1F"/>
                <w:sz w:val="17"/>
              </w:rPr>
              <w:t>الشركاء، الفريق، الثقافة، الجامعات، الترقيات</w:t>
            </w:r>
          </w:p>
        </w:tc>
      </w:tr>
    </w:tbl>
    <w:p>
      <w:pPr>
        <w:spacing w:after="60"/>
      </w:pPr>
    </w:p>
    <w:tbl>
      <w:tblPr>
        <w:tblW w:type="dxa" w:w="9120"/>
        <w:jc w:val="center"/>
        <w:tblLayout w:type="fixed"/>
        <w:tblLook w:firstColumn="1" w:firstRow="1" w:lastColumn="0" w:lastRow="0" w:noHBand="0" w:noVBand="1" w:val="04A0"/>
        <w:tblInd w:w="120" w:type="dxa"/>
      </w:tblPr>
      <w:tblGrid>
        <w:gridCol w:w="9120"/>
      </w:tblGrid>
      <w:tr>
        <w:tc>
          <w:tcPr>
            <w:tcW w:type="dxa" w:w="9120"/>
            <w:tcMar>
              <w:top w:w="100" w:type="dxa"/>
              <w:start w:w="110" w:type="dxa"/>
              <w:bottom w:w="100" w:type="dxa"/>
              <w:end w:w="110" w:type="dxa"/>
            </w:tcMar>
            <w:shd w:fill="EEF1F5"/>
          </w:tcPr>
          <w:p>
            <w:pPr>
              <w:jc w:val="right"/>
              <w:bidi w:val="1"/>
            </w:pPr>
            <w:r>
              <w:rPr>
                <w:rFonts w:ascii="DejaVu Sans" w:hAnsi="DejaVu Sans" w:cs="DejaVu Sans"/>
                <w:b/>
                <w:color w:val="101B2D"/>
                <w:sz w:val="20"/>
              </w:rPr>
              <w:t xml:space="preserve">تنبيه منهجي: </w:t>
            </w:r>
            <w:r>
              <w:rPr>
                <w:rFonts w:ascii="DejaVu Sans" w:hAnsi="DejaVu Sans" w:cs="DejaVu Sans"/>
                <w:b w:val="0"/>
                <w:color w:val="171A1F"/>
                <w:sz w:val="20"/>
              </w:rPr>
              <w:t>عدد المتابعين لقطة عامة وقد يتغير يوميًا. التفاعل الظاهر ليس بديلًا عن التحويلات. ولا يمكن نسبة الفوز بعميل إلى منشور دون UTM وCRM وسؤال «كيف عرفت عنا؟».</w:t>
            </w:r>
          </w:p>
        </w:tc>
      </w:tr>
    </w:tbl>
    <w:p>
      <w:pPr>
        <w:spacing w:after="40"/>
      </w:pPr>
    </w:p>
    <w:p>
      <w:r>
        <w:br w:type="page"/>
      </w:r>
    </w:p>
    <w:p>
      <w:pPr>
        <w:pStyle w:val="Heading1"/>
        <w:jc w:val="right"/>
        <w:bidi w:val="1"/>
      </w:pPr>
      <w:r>
        <w:t>2. خريطة السوق الرقمية</w:t>
      </w:r>
    </w:p>
    <w:p>
      <w:r>
        <w:drawing>
          <wp:inline xmlns:a="http://schemas.openxmlformats.org/drawingml/2006/main" xmlns:pic="http://schemas.openxmlformats.org/drawingml/2006/picture">
            <wp:extent cx="6400800" cy="3992694"/>
            <wp:docPr id="1" name="Picture 1"/>
            <wp:cNvGraphicFramePr>
              <a:graphicFrameLocks noChangeAspect="1"/>
            </wp:cNvGraphicFramePr>
            <a:graphic>
              <a:graphicData uri="http://schemas.openxmlformats.org/drawingml/2006/picture">
                <pic:pic>
                  <pic:nvPicPr>
                    <pic:cNvPr id="0" name="followers.png"/>
                    <pic:cNvPicPr/>
                  </pic:nvPicPr>
                  <pic:blipFill>
                    <a:blip r:embed="rId11"/>
                    <a:stretch>
                      <a:fillRect/>
                    </a:stretch>
                  </pic:blipFill>
                  <pic:spPr>
                    <a:xfrm>
                      <a:off x="0" y="0"/>
                      <a:ext cx="6400800" cy="3992694"/>
                    </a:xfrm>
                    <a:prstGeom prst="rect"/>
                  </pic:spPr>
                </pic:pic>
              </a:graphicData>
            </a:graphic>
          </wp:inline>
        </w:drawing>
      </w:r>
    </w:p>
    <w:p>
      <w:pPr>
        <w:spacing w:before="0" w:after="160" w:line="283" w:lineRule="auto"/>
        <w:jc w:val="center"/>
        <w:bidi w:val="1"/>
      </w:pPr>
      <w:r>
        <w:rPr>
          <w:rFonts w:ascii="DejaVu Sans" w:hAnsi="DejaVu Sans" w:cs="DejaVu Sans"/>
          <w:b w:val="0"/>
          <w:color w:val="5E6672"/>
          <w:sz w:val="16"/>
        </w:rPr>
        <w:t>شكل 1 – متابعو LinkedIn في لقطة موحدة. صفحة التميمي إقليمية وليست سعودية فقط؛ لذلك تُستخدم كمرجع لنموذج التشغيل، لا لمقارنة الحجم المحلي المباشر.</w:t>
      </w:r>
    </w:p>
    <w:p>
      <w:pPr>
        <w:spacing w:before="0" w:after="120" w:line="283" w:lineRule="auto"/>
        <w:jc w:val="right"/>
        <w:bidi w:val="1"/>
      </w:pPr>
      <w:r>
        <w:rPr>
          <w:rFonts w:ascii="DejaVu Sans" w:hAnsi="DejaVu Sans" w:cs="DejaVu Sans"/>
          <w:b w:val="0"/>
          <w:color w:val="5E6672"/>
          <w:sz w:val="15"/>
        </w:rPr>
        <w:t>المصادر: [11]، [12]، [13]، [14]، [15]، [16]، [17]، [18]، [19]، [20]، [21]، [22]</w:t>
      </w:r>
    </w:p>
    <w:p>
      <w:pPr>
        <w:pStyle w:val="Heading2"/>
        <w:jc w:val="right"/>
        <w:bidi w:val="1"/>
      </w:pPr>
      <w:r>
        <w:t>الدلالات</w:t>
      </w:r>
    </w:p>
    <w:p>
      <w:pPr>
        <w:pStyle w:val="ListBullet"/>
        <w:spacing w:after="60"/>
        <w:jc w:val="right"/>
        <w:bidi w:val="1"/>
      </w:pPr>
      <w:r>
        <w:rPr>
          <w:rFonts w:ascii="DejaVu Sans" w:hAnsi="DejaVu Sans" w:cs="DejaVu Sans"/>
          <w:b w:val="0"/>
          <w:color w:val="171A1F"/>
          <w:sz w:val="19"/>
        </w:rPr>
        <w:t>السوق شديد التركّز: 75.9% من جمهور العينة لدى ثلاث صفحات فقط. دخول المنافسة بعدد منشورات عام لن يكسر هذا التركز.</w:t>
      </w:r>
    </w:p>
    <w:p>
      <w:pPr>
        <w:pStyle w:val="ListBullet"/>
        <w:spacing w:after="60"/>
        <w:jc w:val="right"/>
        <w:bidi w:val="1"/>
      </w:pPr>
      <w:r>
        <w:rPr>
          <w:rFonts w:ascii="DejaVu Sans" w:hAnsi="DejaVu Sans" w:cs="DejaVu Sans"/>
          <w:b w:val="0"/>
          <w:color w:val="171A1F"/>
          <w:sz w:val="19"/>
        </w:rPr>
        <w:t>المكاتب ذات الجمهور بين 3–13 ألف تستطيع منافسة الصفحات الأكبر في «جودة الجمهور» إذا تخصصت في قطاع أو مشكلة قرارية.</w:t>
      </w:r>
    </w:p>
    <w:p>
      <w:pPr>
        <w:pStyle w:val="ListBullet"/>
        <w:spacing w:after="60"/>
        <w:jc w:val="right"/>
        <w:bidi w:val="1"/>
      </w:pPr>
      <w:r>
        <w:rPr>
          <w:rFonts w:ascii="DejaVu Sans" w:hAnsi="DejaVu Sans" w:cs="DejaVu Sans"/>
          <w:b w:val="0"/>
          <w:color w:val="171A1F"/>
          <w:sz w:val="19"/>
        </w:rPr>
        <w:t>إياد رضا يثبت أن توسيع المحتوى خارج القانون الصرف يرفع الوصول؛ لكنه يخلق خطر انخفاض كثافة المشتري المؤسسي داخل الجمهور.</w:t>
      </w:r>
    </w:p>
    <w:p>
      <w:pPr>
        <w:pStyle w:val="ListBullet"/>
        <w:spacing w:after="60"/>
        <w:jc w:val="right"/>
        <w:bidi w:val="1"/>
      </w:pPr>
      <w:r>
        <w:rPr>
          <w:rFonts w:ascii="DejaVu Sans" w:hAnsi="DejaVu Sans" w:cs="DejaVu Sans"/>
          <w:b w:val="0"/>
          <w:color w:val="171A1F"/>
          <w:sz w:val="19"/>
        </w:rPr>
        <w:t>Z&amp;Co. يحول التحديث القانوني إلى حدث مسجل، وهي خطوة أقرب لتوليد فرصة أعمال من منشور توعوي منفرد.</w:t>
      </w:r>
    </w:p>
    <w:p>
      <w:r>
        <w:br w:type="page"/>
      </w:r>
    </w:p>
    <w:p>
      <w:pPr>
        <w:pStyle w:val="Heading1"/>
        <w:jc w:val="right"/>
        <w:bidi w:val="1"/>
      </w:pPr>
      <w:r>
        <w:t>3. لوحة المنافسين التفصيلية</w:t>
      </w:r>
    </w:p>
    <w:tbl>
      <w:tblPr>
        <w:tblStyle w:val="TableGrid"/>
        <w:tblW w:type="dxa" w:w="9120"/>
        <w:jc w:val="center"/>
        <w:tblLayout w:type="fixed"/>
        <w:tblLook w:firstColumn="1" w:firstRow="1" w:lastColumn="0" w:lastRow="0" w:noHBand="0" w:noVBand="1" w:val="04A0"/>
        <w:tblInd w:w="120" w:type="dxa"/>
      </w:tblPr>
      <w:tblGrid>
        <w:gridCol w:w="450"/>
        <w:gridCol w:w="2050"/>
        <w:gridCol w:w="1100"/>
        <w:gridCol w:w="1300"/>
        <w:gridCol w:w="900"/>
        <w:gridCol w:w="3320"/>
      </w:tblGrid>
      <w:tr>
        <w:trPr>
          <w:tblHeader/>
        </w:trPr>
        <w:tc>
          <w:tcPr>
            <w:tcW w:type="dxa" w:w="45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5"/>
              </w:rPr>
              <w:t>#</w:t>
            </w:r>
          </w:p>
        </w:tc>
        <w:tc>
          <w:tcPr>
            <w:tcW w:type="dxa" w:w="205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5"/>
              </w:rPr>
              <w:t>الجهة</w:t>
            </w:r>
          </w:p>
        </w:tc>
        <w:tc>
          <w:tcPr>
            <w:tcW w:type="dxa" w:w="110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5"/>
              </w:rPr>
              <w:t>المتابعون</w:t>
            </w:r>
          </w:p>
        </w:tc>
        <w:tc>
          <w:tcPr>
            <w:tcW w:type="dxa" w:w="130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5"/>
              </w:rPr>
              <w:t>النطاق</w:t>
            </w:r>
          </w:p>
        </w:tc>
        <w:tc>
          <w:tcPr>
            <w:tcW w:type="dxa" w:w="90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5"/>
              </w:rPr>
              <w:t>النضج/100</w:t>
            </w:r>
          </w:p>
        </w:tc>
        <w:tc>
          <w:tcPr>
            <w:tcW w:type="dxa" w:w="332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5"/>
              </w:rPr>
              <w:t>النتيجة الأبرز</w:t>
            </w:r>
          </w:p>
        </w:tc>
      </w:tr>
      <w:tr>
        <w:tc>
          <w:tcPr>
            <w:tcW w:type="dxa" w:w="450"/>
            <w:vAlign w:val="center"/>
          </w:tcPr>
          <w:p>
            <w:pPr>
              <w:jc w:val="right"/>
              <w:bidi w:val="1"/>
            </w:pPr>
            <w:r>
              <w:rPr>
                <w:rFonts w:ascii="DejaVu Sans" w:hAnsi="DejaVu Sans" w:cs="DejaVu Sans"/>
                <w:b w:val="0"/>
                <w:color w:val="171A1F"/>
                <w:sz w:val="15"/>
              </w:rPr>
              <w:t>1</w:t>
            </w:r>
          </w:p>
        </w:tc>
        <w:tc>
          <w:tcPr>
            <w:tcW w:type="dxa" w:w="2050"/>
            <w:vAlign w:val="center"/>
          </w:tcPr>
          <w:p>
            <w:pPr>
              <w:jc w:val="center"/>
              <w:bidi w:val="1"/>
            </w:pPr>
            <w:r>
              <w:rPr>
                <w:rFonts w:ascii="DejaVu Sans" w:hAnsi="DejaVu Sans" w:cs="DejaVu Sans"/>
                <w:b w:val="0"/>
                <w:color w:val="171A1F"/>
                <w:sz w:val="15"/>
              </w:rPr>
              <w:t>التميمي ومشاركوه</w:t>
            </w:r>
          </w:p>
        </w:tc>
        <w:tc>
          <w:tcPr>
            <w:tcW w:type="dxa" w:w="1100"/>
            <w:vAlign w:val="center"/>
          </w:tcPr>
          <w:p>
            <w:pPr>
              <w:jc w:val="center"/>
              <w:bidi w:val="1"/>
            </w:pPr>
            <w:r>
              <w:rPr>
                <w:rFonts w:ascii="DejaVu Sans" w:hAnsi="DejaVu Sans" w:cs="DejaVu Sans"/>
                <w:b w:val="0"/>
                <w:color w:val="171A1F"/>
                <w:sz w:val="15"/>
              </w:rPr>
              <w:t>167,028</w:t>
            </w:r>
          </w:p>
        </w:tc>
        <w:tc>
          <w:tcPr>
            <w:tcW w:type="dxa" w:w="1300"/>
            <w:vAlign w:val="center"/>
          </w:tcPr>
          <w:p>
            <w:pPr>
              <w:jc w:val="center"/>
              <w:bidi w:val="1"/>
            </w:pPr>
            <w:r>
              <w:rPr>
                <w:rFonts w:ascii="DejaVu Sans" w:hAnsi="DejaVu Sans" w:cs="DejaVu Sans"/>
                <w:b w:val="0"/>
                <w:color w:val="171A1F"/>
                <w:sz w:val="15"/>
              </w:rPr>
              <w:t>إقليمي/السعودية</w:t>
            </w:r>
          </w:p>
        </w:tc>
        <w:tc>
          <w:tcPr>
            <w:tcW w:type="dxa" w:w="900"/>
            <w:vAlign w:val="center"/>
          </w:tcPr>
          <w:p>
            <w:pPr>
              <w:jc w:val="center"/>
              <w:bidi w:val="1"/>
            </w:pPr>
            <w:r>
              <w:rPr>
                <w:rFonts w:ascii="DejaVu Sans" w:hAnsi="DejaVu Sans" w:cs="DejaVu Sans"/>
                <w:b w:val="0"/>
                <w:color w:val="171A1F"/>
                <w:sz w:val="15"/>
              </w:rPr>
              <w:t>98</w:t>
            </w:r>
          </w:p>
        </w:tc>
        <w:tc>
          <w:tcPr>
            <w:tcW w:type="dxa" w:w="3320"/>
            <w:vAlign w:val="center"/>
          </w:tcPr>
          <w:p>
            <w:pPr>
              <w:jc w:val="center"/>
              <w:bidi w:val="1"/>
            </w:pPr>
            <w:r>
              <w:rPr>
                <w:rFonts w:ascii="DejaVu Sans" w:hAnsi="DejaVu Sans" w:cs="DejaVu Sans"/>
                <w:b w:val="0"/>
                <w:color w:val="171A1F"/>
                <w:sz w:val="15"/>
              </w:rPr>
              <w:t>الأقوى في بناء جمهور مؤسسي واسع</w:t>
            </w:r>
          </w:p>
        </w:tc>
      </w:tr>
      <w:tr>
        <w:tc>
          <w:tcPr>
            <w:tcW w:type="dxa" w:w="450"/>
            <w:vAlign w:val="center"/>
            <w:shd w:fill="F7F8FA"/>
          </w:tcPr>
          <w:p>
            <w:pPr>
              <w:jc w:val="right"/>
              <w:bidi w:val="1"/>
            </w:pPr>
            <w:r>
              <w:rPr>
                <w:rFonts w:ascii="DejaVu Sans" w:hAnsi="DejaVu Sans" w:cs="DejaVu Sans"/>
                <w:b w:val="0"/>
                <w:color w:val="171A1F"/>
                <w:sz w:val="15"/>
              </w:rPr>
              <w:t>2</w:t>
            </w:r>
          </w:p>
        </w:tc>
        <w:tc>
          <w:tcPr>
            <w:tcW w:type="dxa" w:w="2050"/>
            <w:vAlign w:val="center"/>
            <w:shd w:fill="F7F8FA"/>
          </w:tcPr>
          <w:p>
            <w:pPr>
              <w:jc w:val="center"/>
              <w:bidi w:val="1"/>
            </w:pPr>
            <w:r>
              <w:rPr>
                <w:rFonts w:ascii="DejaVu Sans" w:hAnsi="DejaVu Sans" w:cs="DejaVu Sans"/>
                <w:b w:val="0"/>
                <w:color w:val="171A1F"/>
                <w:sz w:val="15"/>
              </w:rPr>
              <w:t>Z&amp;Co.</w:t>
            </w:r>
          </w:p>
        </w:tc>
        <w:tc>
          <w:tcPr>
            <w:tcW w:type="dxa" w:w="1100"/>
            <w:vAlign w:val="center"/>
            <w:shd w:fill="F7F8FA"/>
          </w:tcPr>
          <w:p>
            <w:pPr>
              <w:jc w:val="center"/>
              <w:bidi w:val="1"/>
            </w:pPr>
            <w:r>
              <w:rPr>
                <w:rFonts w:ascii="DejaVu Sans" w:hAnsi="DejaVu Sans" w:cs="DejaVu Sans"/>
                <w:b w:val="0"/>
                <w:color w:val="171A1F"/>
                <w:sz w:val="15"/>
              </w:rPr>
              <w:t>27,789</w:t>
            </w:r>
          </w:p>
        </w:tc>
        <w:tc>
          <w:tcPr>
            <w:tcW w:type="dxa" w:w="1300"/>
            <w:vAlign w:val="center"/>
            <w:shd w:fill="F7F8FA"/>
          </w:tcPr>
          <w:p>
            <w:pPr>
              <w:jc w:val="center"/>
              <w:bidi w:val="1"/>
            </w:pPr>
            <w:r>
              <w:rPr>
                <w:rFonts w:ascii="DejaVu Sans" w:hAnsi="DejaVu Sans" w:cs="DejaVu Sans"/>
                <w:b w:val="0"/>
                <w:color w:val="171A1F"/>
                <w:sz w:val="15"/>
              </w:rPr>
              <w:t>سعودي</w:t>
            </w:r>
          </w:p>
        </w:tc>
        <w:tc>
          <w:tcPr>
            <w:tcW w:type="dxa" w:w="900"/>
            <w:vAlign w:val="center"/>
            <w:shd w:fill="F7F8FA"/>
          </w:tcPr>
          <w:p>
            <w:pPr>
              <w:jc w:val="center"/>
              <w:bidi w:val="1"/>
            </w:pPr>
            <w:r>
              <w:rPr>
                <w:rFonts w:ascii="DejaVu Sans" w:hAnsi="DejaVu Sans" w:cs="DejaVu Sans"/>
                <w:b w:val="0"/>
                <w:color w:val="171A1F"/>
                <w:sz w:val="15"/>
              </w:rPr>
              <w:t>89</w:t>
            </w:r>
          </w:p>
        </w:tc>
        <w:tc>
          <w:tcPr>
            <w:tcW w:type="dxa" w:w="3320"/>
            <w:vAlign w:val="center"/>
            <w:shd w:fill="F7F8FA"/>
          </w:tcPr>
          <w:p>
            <w:pPr>
              <w:jc w:val="center"/>
              <w:bidi w:val="1"/>
            </w:pPr>
            <w:r>
              <w:rPr>
                <w:rFonts w:ascii="DejaVu Sans" w:hAnsi="DejaVu Sans" w:cs="DejaVu Sans"/>
                <w:b w:val="0"/>
                <w:color w:val="171A1F"/>
                <w:sz w:val="15"/>
              </w:rPr>
              <w:t>أفضل توازن بين المعرفة والتحويل</w:t>
            </w:r>
          </w:p>
        </w:tc>
      </w:tr>
      <w:tr>
        <w:tc>
          <w:tcPr>
            <w:tcW w:type="dxa" w:w="450"/>
            <w:vAlign w:val="center"/>
          </w:tcPr>
          <w:p>
            <w:pPr>
              <w:jc w:val="right"/>
              <w:bidi w:val="1"/>
            </w:pPr>
            <w:r>
              <w:rPr>
                <w:rFonts w:ascii="DejaVu Sans" w:hAnsi="DejaVu Sans" w:cs="DejaVu Sans"/>
                <w:b w:val="0"/>
                <w:color w:val="171A1F"/>
                <w:sz w:val="15"/>
              </w:rPr>
              <w:t>3</w:t>
            </w:r>
          </w:p>
        </w:tc>
        <w:tc>
          <w:tcPr>
            <w:tcW w:type="dxa" w:w="2050"/>
            <w:vAlign w:val="center"/>
          </w:tcPr>
          <w:p>
            <w:pPr>
              <w:jc w:val="center"/>
              <w:bidi w:val="1"/>
            </w:pPr>
            <w:r>
              <w:rPr>
                <w:rFonts w:ascii="DejaVu Sans" w:hAnsi="DejaVu Sans" w:cs="DejaVu Sans"/>
                <w:b w:val="0"/>
                <w:color w:val="171A1F"/>
                <w:sz w:val="15"/>
              </w:rPr>
              <w:t>AS&amp;H Clifford Chance</w:t>
            </w:r>
          </w:p>
        </w:tc>
        <w:tc>
          <w:tcPr>
            <w:tcW w:type="dxa" w:w="1100"/>
            <w:vAlign w:val="center"/>
          </w:tcPr>
          <w:p>
            <w:pPr>
              <w:jc w:val="center"/>
              <w:bidi w:val="1"/>
            </w:pPr>
            <w:r>
              <w:rPr>
                <w:rFonts w:ascii="DejaVu Sans" w:hAnsi="DejaVu Sans" w:cs="DejaVu Sans"/>
                <w:b w:val="0"/>
                <w:color w:val="171A1F"/>
                <w:sz w:val="15"/>
              </w:rPr>
              <w:t>10,972</w:t>
            </w:r>
          </w:p>
        </w:tc>
        <w:tc>
          <w:tcPr>
            <w:tcW w:type="dxa" w:w="1300"/>
            <w:vAlign w:val="center"/>
          </w:tcPr>
          <w:p>
            <w:pPr>
              <w:jc w:val="center"/>
              <w:bidi w:val="1"/>
            </w:pPr>
            <w:r>
              <w:rPr>
                <w:rFonts w:ascii="DejaVu Sans" w:hAnsi="DejaVu Sans" w:cs="DejaVu Sans"/>
                <w:b w:val="0"/>
                <w:color w:val="171A1F"/>
                <w:sz w:val="15"/>
              </w:rPr>
              <w:t>سعودي/دولي</w:t>
            </w:r>
          </w:p>
        </w:tc>
        <w:tc>
          <w:tcPr>
            <w:tcW w:type="dxa" w:w="900"/>
            <w:vAlign w:val="center"/>
          </w:tcPr>
          <w:p>
            <w:pPr>
              <w:jc w:val="center"/>
              <w:bidi w:val="1"/>
            </w:pPr>
            <w:r>
              <w:rPr>
                <w:rFonts w:ascii="DejaVu Sans" w:hAnsi="DejaVu Sans" w:cs="DejaVu Sans"/>
                <w:b w:val="0"/>
                <w:color w:val="171A1F"/>
                <w:sz w:val="15"/>
              </w:rPr>
              <w:t>82</w:t>
            </w:r>
          </w:p>
        </w:tc>
        <w:tc>
          <w:tcPr>
            <w:tcW w:type="dxa" w:w="3320"/>
            <w:vAlign w:val="center"/>
          </w:tcPr>
          <w:p>
            <w:pPr>
              <w:jc w:val="center"/>
              <w:bidi w:val="1"/>
            </w:pPr>
            <w:r>
              <w:rPr>
                <w:rFonts w:ascii="DejaVu Sans" w:hAnsi="DejaVu Sans" w:cs="DejaVu Sans"/>
                <w:b w:val="0"/>
                <w:color w:val="171A1F"/>
                <w:sz w:val="15"/>
              </w:rPr>
              <w:t>نفوذ عالٍ لدى المشترين المؤسسيين</w:t>
            </w:r>
          </w:p>
        </w:tc>
      </w:tr>
      <w:tr>
        <w:tc>
          <w:tcPr>
            <w:tcW w:type="dxa" w:w="450"/>
            <w:vAlign w:val="center"/>
            <w:shd w:fill="F7F8FA"/>
          </w:tcPr>
          <w:p>
            <w:pPr>
              <w:jc w:val="right"/>
              <w:bidi w:val="1"/>
            </w:pPr>
            <w:r>
              <w:rPr>
                <w:rFonts w:ascii="DejaVu Sans" w:hAnsi="DejaVu Sans" w:cs="DejaVu Sans"/>
                <w:b w:val="0"/>
                <w:color w:val="171A1F"/>
                <w:sz w:val="15"/>
              </w:rPr>
              <w:t>4</w:t>
            </w:r>
          </w:p>
        </w:tc>
        <w:tc>
          <w:tcPr>
            <w:tcW w:type="dxa" w:w="2050"/>
            <w:vAlign w:val="center"/>
            <w:shd w:fill="F7F8FA"/>
          </w:tcPr>
          <w:p>
            <w:pPr>
              <w:jc w:val="center"/>
              <w:bidi w:val="1"/>
            </w:pPr>
            <w:r>
              <w:rPr>
                <w:rFonts w:ascii="DejaVu Sans" w:hAnsi="DejaVu Sans" w:cs="DejaVu Sans"/>
                <w:b w:val="0"/>
                <w:color w:val="171A1F"/>
                <w:sz w:val="15"/>
              </w:rPr>
              <w:t>إياد رضا</w:t>
            </w:r>
          </w:p>
        </w:tc>
        <w:tc>
          <w:tcPr>
            <w:tcW w:type="dxa" w:w="1100"/>
            <w:vAlign w:val="center"/>
            <w:shd w:fill="F7F8FA"/>
          </w:tcPr>
          <w:p>
            <w:pPr>
              <w:jc w:val="center"/>
              <w:bidi w:val="1"/>
            </w:pPr>
            <w:r>
              <w:rPr>
                <w:rFonts w:ascii="DejaVu Sans" w:hAnsi="DejaVu Sans" w:cs="DejaVu Sans"/>
                <w:b w:val="0"/>
                <w:color w:val="171A1F"/>
                <w:sz w:val="15"/>
              </w:rPr>
              <w:t>50,528</w:t>
            </w:r>
          </w:p>
        </w:tc>
        <w:tc>
          <w:tcPr>
            <w:tcW w:type="dxa" w:w="1300"/>
            <w:vAlign w:val="center"/>
            <w:shd w:fill="F7F8FA"/>
          </w:tcPr>
          <w:p>
            <w:pPr>
              <w:jc w:val="center"/>
              <w:bidi w:val="1"/>
            </w:pPr>
            <w:r>
              <w:rPr>
                <w:rFonts w:ascii="DejaVu Sans" w:hAnsi="DejaVu Sans" w:cs="DejaVu Sans"/>
                <w:b w:val="0"/>
                <w:color w:val="171A1F"/>
                <w:sz w:val="15"/>
              </w:rPr>
              <w:t>سعودي</w:t>
            </w:r>
          </w:p>
        </w:tc>
        <w:tc>
          <w:tcPr>
            <w:tcW w:type="dxa" w:w="900"/>
            <w:vAlign w:val="center"/>
            <w:shd w:fill="F7F8FA"/>
          </w:tcPr>
          <w:p>
            <w:pPr>
              <w:jc w:val="center"/>
              <w:bidi w:val="1"/>
            </w:pPr>
            <w:r>
              <w:rPr>
                <w:rFonts w:ascii="DejaVu Sans" w:hAnsi="DejaVu Sans" w:cs="DejaVu Sans"/>
                <w:b w:val="0"/>
                <w:color w:val="171A1F"/>
                <w:sz w:val="15"/>
              </w:rPr>
              <w:t>80</w:t>
            </w:r>
          </w:p>
        </w:tc>
        <w:tc>
          <w:tcPr>
            <w:tcW w:type="dxa" w:w="3320"/>
            <w:vAlign w:val="center"/>
            <w:shd w:fill="F7F8FA"/>
          </w:tcPr>
          <w:p>
            <w:pPr>
              <w:jc w:val="center"/>
              <w:bidi w:val="1"/>
            </w:pPr>
            <w:r>
              <w:rPr>
                <w:rFonts w:ascii="DejaVu Sans" w:hAnsi="DejaVu Sans" w:cs="DejaVu Sans"/>
                <w:b w:val="0"/>
                <w:color w:val="171A1F"/>
                <w:sz w:val="15"/>
              </w:rPr>
              <w:t>الأقوى محليًا في الوصول الجماهيري</w:t>
            </w:r>
          </w:p>
        </w:tc>
      </w:tr>
      <w:tr>
        <w:tc>
          <w:tcPr>
            <w:tcW w:type="dxa" w:w="450"/>
            <w:vAlign w:val="center"/>
          </w:tcPr>
          <w:p>
            <w:pPr>
              <w:jc w:val="right"/>
              <w:bidi w:val="1"/>
            </w:pPr>
            <w:r>
              <w:rPr>
                <w:rFonts w:ascii="DejaVu Sans" w:hAnsi="DejaVu Sans" w:cs="DejaVu Sans"/>
                <w:b w:val="0"/>
                <w:color w:val="171A1F"/>
                <w:sz w:val="15"/>
              </w:rPr>
              <w:t>5</w:t>
            </w:r>
          </w:p>
        </w:tc>
        <w:tc>
          <w:tcPr>
            <w:tcW w:type="dxa" w:w="2050"/>
            <w:vAlign w:val="center"/>
          </w:tcPr>
          <w:p>
            <w:pPr>
              <w:jc w:val="center"/>
              <w:bidi w:val="1"/>
            </w:pPr>
            <w:r>
              <w:rPr>
                <w:rFonts w:ascii="DejaVu Sans" w:hAnsi="DejaVu Sans" w:cs="DejaVu Sans"/>
                <w:b w:val="0"/>
                <w:color w:val="171A1F"/>
                <w:sz w:val="15"/>
              </w:rPr>
              <w:t>حمّاد والمهيدب</w:t>
            </w:r>
          </w:p>
        </w:tc>
        <w:tc>
          <w:tcPr>
            <w:tcW w:type="dxa" w:w="1100"/>
            <w:vAlign w:val="center"/>
          </w:tcPr>
          <w:p>
            <w:pPr>
              <w:jc w:val="center"/>
              <w:bidi w:val="1"/>
            </w:pPr>
            <w:r>
              <w:rPr>
                <w:rFonts w:ascii="DejaVu Sans" w:hAnsi="DejaVu Sans" w:cs="DejaVu Sans"/>
                <w:b w:val="0"/>
                <w:color w:val="171A1F"/>
                <w:sz w:val="15"/>
              </w:rPr>
              <w:t>18,081</w:t>
            </w:r>
          </w:p>
        </w:tc>
        <w:tc>
          <w:tcPr>
            <w:tcW w:type="dxa" w:w="1300"/>
            <w:vAlign w:val="center"/>
          </w:tcPr>
          <w:p>
            <w:pPr>
              <w:jc w:val="center"/>
              <w:bidi w:val="1"/>
            </w:pPr>
            <w:r>
              <w:rPr>
                <w:rFonts w:ascii="DejaVu Sans" w:hAnsi="DejaVu Sans" w:cs="DejaVu Sans"/>
                <w:b w:val="0"/>
                <w:color w:val="171A1F"/>
                <w:sz w:val="15"/>
              </w:rPr>
              <w:t>سعودي/خليجي</w:t>
            </w:r>
          </w:p>
        </w:tc>
        <w:tc>
          <w:tcPr>
            <w:tcW w:type="dxa" w:w="900"/>
            <w:vAlign w:val="center"/>
          </w:tcPr>
          <w:p>
            <w:pPr>
              <w:jc w:val="center"/>
              <w:bidi w:val="1"/>
            </w:pPr>
            <w:r>
              <w:rPr>
                <w:rFonts w:ascii="DejaVu Sans" w:hAnsi="DejaVu Sans" w:cs="DejaVu Sans"/>
                <w:b w:val="0"/>
                <w:color w:val="171A1F"/>
                <w:sz w:val="15"/>
              </w:rPr>
              <w:t>80</w:t>
            </w:r>
          </w:p>
        </w:tc>
        <w:tc>
          <w:tcPr>
            <w:tcW w:type="dxa" w:w="3320"/>
            <w:vAlign w:val="center"/>
          </w:tcPr>
          <w:p>
            <w:pPr>
              <w:jc w:val="center"/>
              <w:bidi w:val="1"/>
            </w:pPr>
            <w:r>
              <w:rPr>
                <w:rFonts w:ascii="DejaVu Sans" w:hAnsi="DejaVu Sans" w:cs="DejaVu Sans"/>
                <w:b w:val="0"/>
                <w:color w:val="171A1F"/>
                <w:sz w:val="15"/>
              </w:rPr>
              <w:t>علامة مؤسسية قوية خصوصًا في جدة</w:t>
            </w:r>
          </w:p>
        </w:tc>
      </w:tr>
      <w:tr>
        <w:tc>
          <w:tcPr>
            <w:tcW w:type="dxa" w:w="450"/>
            <w:vAlign w:val="center"/>
            <w:shd w:fill="F7F8FA"/>
          </w:tcPr>
          <w:p>
            <w:pPr>
              <w:jc w:val="right"/>
              <w:bidi w:val="1"/>
            </w:pPr>
            <w:r>
              <w:rPr>
                <w:rFonts w:ascii="DejaVu Sans" w:hAnsi="DejaVu Sans" w:cs="DejaVu Sans"/>
                <w:b w:val="0"/>
                <w:color w:val="171A1F"/>
                <w:sz w:val="15"/>
              </w:rPr>
              <w:t>6</w:t>
            </w:r>
          </w:p>
        </w:tc>
        <w:tc>
          <w:tcPr>
            <w:tcW w:type="dxa" w:w="2050"/>
            <w:vAlign w:val="center"/>
            <w:shd w:fill="F7F8FA"/>
          </w:tcPr>
          <w:p>
            <w:pPr>
              <w:jc w:val="center"/>
              <w:bidi w:val="1"/>
            </w:pPr>
            <w:r>
              <w:rPr>
                <w:rFonts w:ascii="DejaVu Sans" w:hAnsi="DejaVu Sans" w:cs="DejaVu Sans"/>
                <w:b w:val="0"/>
                <w:color w:val="171A1F"/>
                <w:sz w:val="15"/>
              </w:rPr>
              <w:t>الخُشيم ومشاركوه</w:t>
            </w:r>
          </w:p>
        </w:tc>
        <w:tc>
          <w:tcPr>
            <w:tcW w:type="dxa" w:w="1100"/>
            <w:vAlign w:val="center"/>
            <w:shd w:fill="F7F8FA"/>
          </w:tcPr>
          <w:p>
            <w:pPr>
              <w:jc w:val="center"/>
              <w:bidi w:val="1"/>
            </w:pPr>
            <w:r>
              <w:rPr>
                <w:rFonts w:ascii="DejaVu Sans" w:hAnsi="DejaVu Sans" w:cs="DejaVu Sans"/>
                <w:b w:val="0"/>
                <w:color w:val="171A1F"/>
                <w:sz w:val="15"/>
              </w:rPr>
              <w:t>12,663</w:t>
            </w:r>
          </w:p>
        </w:tc>
        <w:tc>
          <w:tcPr>
            <w:tcW w:type="dxa" w:w="1300"/>
            <w:vAlign w:val="center"/>
            <w:shd w:fill="F7F8FA"/>
          </w:tcPr>
          <w:p>
            <w:pPr>
              <w:jc w:val="center"/>
              <w:bidi w:val="1"/>
            </w:pPr>
            <w:r>
              <w:rPr>
                <w:rFonts w:ascii="DejaVu Sans" w:hAnsi="DejaVu Sans" w:cs="DejaVu Sans"/>
                <w:b w:val="0"/>
                <w:color w:val="171A1F"/>
                <w:sz w:val="15"/>
              </w:rPr>
              <w:t>سعودي</w:t>
            </w:r>
          </w:p>
        </w:tc>
        <w:tc>
          <w:tcPr>
            <w:tcW w:type="dxa" w:w="900"/>
            <w:vAlign w:val="center"/>
            <w:shd w:fill="F7F8FA"/>
          </w:tcPr>
          <w:p>
            <w:pPr>
              <w:jc w:val="center"/>
              <w:bidi w:val="1"/>
            </w:pPr>
            <w:r>
              <w:rPr>
                <w:rFonts w:ascii="DejaVu Sans" w:hAnsi="DejaVu Sans" w:cs="DejaVu Sans"/>
                <w:b w:val="0"/>
                <w:color w:val="171A1F"/>
                <w:sz w:val="15"/>
              </w:rPr>
              <w:t>79</w:t>
            </w:r>
          </w:p>
        </w:tc>
        <w:tc>
          <w:tcPr>
            <w:tcW w:type="dxa" w:w="3320"/>
            <w:vAlign w:val="center"/>
            <w:shd w:fill="F7F8FA"/>
          </w:tcPr>
          <w:p>
            <w:pPr>
              <w:jc w:val="center"/>
              <w:bidi w:val="1"/>
            </w:pPr>
            <w:r>
              <w:rPr>
                <w:rFonts w:ascii="DejaVu Sans" w:hAnsi="DejaVu Sans" w:cs="DejaVu Sans"/>
                <w:b w:val="0"/>
                <w:color w:val="171A1F"/>
                <w:sz w:val="15"/>
              </w:rPr>
              <w:t>الأقوى في إثبات المكانة المهنية</w:t>
            </w:r>
          </w:p>
        </w:tc>
      </w:tr>
      <w:tr>
        <w:tc>
          <w:tcPr>
            <w:tcW w:type="dxa" w:w="450"/>
            <w:vAlign w:val="center"/>
          </w:tcPr>
          <w:p>
            <w:pPr>
              <w:jc w:val="right"/>
              <w:bidi w:val="1"/>
            </w:pPr>
            <w:r>
              <w:rPr>
                <w:rFonts w:ascii="DejaVu Sans" w:hAnsi="DejaVu Sans" w:cs="DejaVu Sans"/>
                <w:b w:val="0"/>
                <w:color w:val="171A1F"/>
                <w:sz w:val="15"/>
              </w:rPr>
              <w:t>7</w:t>
            </w:r>
          </w:p>
        </w:tc>
        <w:tc>
          <w:tcPr>
            <w:tcW w:type="dxa" w:w="2050"/>
            <w:vAlign w:val="center"/>
          </w:tcPr>
          <w:p>
            <w:pPr>
              <w:jc w:val="center"/>
              <w:bidi w:val="1"/>
            </w:pPr>
            <w:r>
              <w:rPr>
                <w:rFonts w:ascii="DejaVu Sans" w:hAnsi="DejaVu Sans" w:cs="DejaVu Sans"/>
                <w:b w:val="0"/>
                <w:color w:val="171A1F"/>
                <w:sz w:val="15"/>
              </w:rPr>
              <w:t>SuhailPartners</w:t>
            </w:r>
          </w:p>
        </w:tc>
        <w:tc>
          <w:tcPr>
            <w:tcW w:type="dxa" w:w="1100"/>
            <w:vAlign w:val="center"/>
          </w:tcPr>
          <w:p>
            <w:pPr>
              <w:jc w:val="center"/>
              <w:bidi w:val="1"/>
            </w:pPr>
            <w:r>
              <w:rPr>
                <w:rFonts w:ascii="DejaVu Sans" w:hAnsi="DejaVu Sans" w:cs="DejaVu Sans"/>
                <w:b w:val="0"/>
                <w:color w:val="171A1F"/>
                <w:sz w:val="15"/>
              </w:rPr>
              <w:t>3,515</w:t>
            </w:r>
          </w:p>
        </w:tc>
        <w:tc>
          <w:tcPr>
            <w:tcW w:type="dxa" w:w="1300"/>
            <w:vAlign w:val="center"/>
          </w:tcPr>
          <w:p>
            <w:pPr>
              <w:jc w:val="center"/>
              <w:bidi w:val="1"/>
            </w:pPr>
            <w:r>
              <w:rPr>
                <w:rFonts w:ascii="DejaVu Sans" w:hAnsi="DejaVu Sans" w:cs="DejaVu Sans"/>
                <w:b w:val="0"/>
                <w:color w:val="171A1F"/>
                <w:sz w:val="15"/>
              </w:rPr>
              <w:t>سعودي</w:t>
            </w:r>
          </w:p>
        </w:tc>
        <w:tc>
          <w:tcPr>
            <w:tcW w:type="dxa" w:w="900"/>
            <w:vAlign w:val="center"/>
          </w:tcPr>
          <w:p>
            <w:pPr>
              <w:jc w:val="center"/>
              <w:bidi w:val="1"/>
            </w:pPr>
            <w:r>
              <w:rPr>
                <w:rFonts w:ascii="DejaVu Sans" w:hAnsi="DejaVu Sans" w:cs="DejaVu Sans"/>
                <w:b w:val="0"/>
                <w:color w:val="171A1F"/>
                <w:sz w:val="15"/>
              </w:rPr>
              <w:t>75</w:t>
            </w:r>
          </w:p>
        </w:tc>
        <w:tc>
          <w:tcPr>
            <w:tcW w:type="dxa" w:w="3320"/>
            <w:vAlign w:val="center"/>
          </w:tcPr>
          <w:p>
            <w:pPr>
              <w:jc w:val="center"/>
              <w:bidi w:val="1"/>
            </w:pPr>
            <w:r>
              <w:rPr>
                <w:rFonts w:ascii="DejaVu Sans" w:hAnsi="DejaVu Sans" w:cs="DejaVu Sans"/>
                <w:b w:val="0"/>
                <w:color w:val="171A1F"/>
                <w:sz w:val="15"/>
              </w:rPr>
              <w:t>تموضع قوي قياسًا بعمر وحجم المكتب</w:t>
            </w:r>
          </w:p>
        </w:tc>
      </w:tr>
      <w:tr>
        <w:tc>
          <w:tcPr>
            <w:tcW w:type="dxa" w:w="450"/>
            <w:vAlign w:val="center"/>
            <w:shd w:fill="F7F8FA"/>
          </w:tcPr>
          <w:p>
            <w:pPr>
              <w:jc w:val="right"/>
              <w:bidi w:val="1"/>
            </w:pPr>
            <w:r>
              <w:rPr>
                <w:rFonts w:ascii="DejaVu Sans" w:hAnsi="DejaVu Sans" w:cs="DejaVu Sans"/>
                <w:b w:val="0"/>
                <w:color w:val="171A1F"/>
                <w:sz w:val="15"/>
              </w:rPr>
              <w:t>8</w:t>
            </w:r>
          </w:p>
        </w:tc>
        <w:tc>
          <w:tcPr>
            <w:tcW w:type="dxa" w:w="2050"/>
            <w:vAlign w:val="center"/>
            <w:shd w:fill="F7F8FA"/>
          </w:tcPr>
          <w:p>
            <w:pPr>
              <w:jc w:val="center"/>
              <w:bidi w:val="1"/>
            </w:pPr>
            <w:r>
              <w:rPr>
                <w:rFonts w:ascii="DejaVu Sans" w:hAnsi="DejaVu Sans" w:cs="DejaVu Sans"/>
                <w:b w:val="0"/>
                <w:color w:val="171A1F"/>
                <w:sz w:val="15"/>
              </w:rPr>
              <w:t>الحرساني والخميس</w:t>
            </w:r>
          </w:p>
        </w:tc>
        <w:tc>
          <w:tcPr>
            <w:tcW w:type="dxa" w:w="1100"/>
            <w:vAlign w:val="center"/>
            <w:shd w:fill="F7F8FA"/>
          </w:tcPr>
          <w:p>
            <w:pPr>
              <w:jc w:val="center"/>
              <w:bidi w:val="1"/>
            </w:pPr>
            <w:r>
              <w:rPr>
                <w:rFonts w:ascii="DejaVu Sans" w:hAnsi="DejaVu Sans" w:cs="DejaVu Sans"/>
                <w:b w:val="0"/>
                <w:color w:val="171A1F"/>
                <w:sz w:val="15"/>
              </w:rPr>
              <w:t>9,116</w:t>
            </w:r>
          </w:p>
        </w:tc>
        <w:tc>
          <w:tcPr>
            <w:tcW w:type="dxa" w:w="1300"/>
            <w:vAlign w:val="center"/>
            <w:shd w:fill="F7F8FA"/>
          </w:tcPr>
          <w:p>
            <w:pPr>
              <w:jc w:val="center"/>
              <w:bidi w:val="1"/>
            </w:pPr>
            <w:r>
              <w:rPr>
                <w:rFonts w:ascii="DejaVu Sans" w:hAnsi="DejaVu Sans" w:cs="DejaVu Sans"/>
                <w:b w:val="0"/>
                <w:color w:val="171A1F"/>
                <w:sz w:val="15"/>
              </w:rPr>
              <w:t>سعودي</w:t>
            </w:r>
          </w:p>
        </w:tc>
        <w:tc>
          <w:tcPr>
            <w:tcW w:type="dxa" w:w="900"/>
            <w:vAlign w:val="center"/>
            <w:shd w:fill="F7F8FA"/>
          </w:tcPr>
          <w:p>
            <w:pPr>
              <w:jc w:val="center"/>
              <w:bidi w:val="1"/>
            </w:pPr>
            <w:r>
              <w:rPr>
                <w:rFonts w:ascii="DejaVu Sans" w:hAnsi="DejaVu Sans" w:cs="DejaVu Sans"/>
                <w:b w:val="0"/>
                <w:color w:val="171A1F"/>
                <w:sz w:val="15"/>
              </w:rPr>
              <w:t>73</w:t>
            </w:r>
          </w:p>
        </w:tc>
        <w:tc>
          <w:tcPr>
            <w:tcW w:type="dxa" w:w="3320"/>
            <w:vAlign w:val="center"/>
            <w:shd w:fill="F7F8FA"/>
          </w:tcPr>
          <w:p>
            <w:pPr>
              <w:jc w:val="center"/>
              <w:bidi w:val="1"/>
            </w:pPr>
            <w:r>
              <w:rPr>
                <w:rFonts w:ascii="DejaVu Sans" w:hAnsi="DejaVu Sans" w:cs="DejaVu Sans"/>
                <w:b w:val="0"/>
                <w:color w:val="171A1F"/>
                <w:sz w:val="15"/>
              </w:rPr>
              <w:t>وضوح تخصصي جيد</w:t>
            </w:r>
          </w:p>
        </w:tc>
      </w:tr>
      <w:tr>
        <w:tc>
          <w:tcPr>
            <w:tcW w:type="dxa" w:w="450"/>
            <w:vAlign w:val="center"/>
          </w:tcPr>
          <w:p>
            <w:pPr>
              <w:jc w:val="right"/>
              <w:bidi w:val="1"/>
            </w:pPr>
            <w:r>
              <w:rPr>
                <w:rFonts w:ascii="DejaVu Sans" w:hAnsi="DejaVu Sans" w:cs="DejaVu Sans"/>
                <w:b w:val="0"/>
                <w:color w:val="171A1F"/>
                <w:sz w:val="15"/>
              </w:rPr>
              <w:t>9</w:t>
            </w:r>
          </w:p>
        </w:tc>
        <w:tc>
          <w:tcPr>
            <w:tcW w:type="dxa" w:w="2050"/>
            <w:vAlign w:val="center"/>
          </w:tcPr>
          <w:p>
            <w:pPr>
              <w:jc w:val="center"/>
              <w:bidi w:val="1"/>
            </w:pPr>
            <w:r>
              <w:rPr>
                <w:rFonts w:ascii="DejaVu Sans" w:hAnsi="DejaVu Sans" w:cs="DejaVu Sans"/>
                <w:b w:val="0"/>
                <w:color w:val="171A1F"/>
                <w:sz w:val="15"/>
              </w:rPr>
              <w:t>قيصر متولي</w:t>
            </w:r>
          </w:p>
        </w:tc>
        <w:tc>
          <w:tcPr>
            <w:tcW w:type="dxa" w:w="1100"/>
            <w:vAlign w:val="center"/>
          </w:tcPr>
          <w:p>
            <w:pPr>
              <w:jc w:val="center"/>
              <w:bidi w:val="1"/>
            </w:pPr>
            <w:r>
              <w:rPr>
                <w:rFonts w:ascii="DejaVu Sans" w:hAnsi="DejaVu Sans" w:cs="DejaVu Sans"/>
                <w:b w:val="0"/>
                <w:color w:val="171A1F"/>
                <w:sz w:val="15"/>
              </w:rPr>
              <w:t>3,095</w:t>
            </w:r>
          </w:p>
        </w:tc>
        <w:tc>
          <w:tcPr>
            <w:tcW w:type="dxa" w:w="1300"/>
            <w:vAlign w:val="center"/>
          </w:tcPr>
          <w:p>
            <w:pPr>
              <w:jc w:val="center"/>
              <w:bidi w:val="1"/>
            </w:pPr>
            <w:r>
              <w:rPr>
                <w:rFonts w:ascii="DejaVu Sans" w:hAnsi="DejaVu Sans" w:cs="DejaVu Sans"/>
                <w:b w:val="0"/>
                <w:color w:val="171A1F"/>
                <w:sz w:val="15"/>
              </w:rPr>
              <w:t>سعودي/دولي</w:t>
            </w:r>
          </w:p>
        </w:tc>
        <w:tc>
          <w:tcPr>
            <w:tcW w:type="dxa" w:w="900"/>
            <w:vAlign w:val="center"/>
          </w:tcPr>
          <w:p>
            <w:pPr>
              <w:jc w:val="center"/>
              <w:bidi w:val="1"/>
            </w:pPr>
            <w:r>
              <w:rPr>
                <w:rFonts w:ascii="DejaVu Sans" w:hAnsi="DejaVu Sans" w:cs="DejaVu Sans"/>
                <w:b w:val="0"/>
                <w:color w:val="171A1F"/>
                <w:sz w:val="15"/>
              </w:rPr>
              <w:t>70</w:t>
            </w:r>
          </w:p>
        </w:tc>
        <w:tc>
          <w:tcPr>
            <w:tcW w:type="dxa" w:w="3320"/>
            <w:vAlign w:val="center"/>
          </w:tcPr>
          <w:p>
            <w:pPr>
              <w:jc w:val="center"/>
              <w:bidi w:val="1"/>
            </w:pPr>
            <w:r>
              <w:rPr>
                <w:rFonts w:ascii="DejaVu Sans" w:hAnsi="DejaVu Sans" w:cs="DejaVu Sans"/>
                <w:b w:val="0"/>
                <w:color w:val="171A1F"/>
                <w:sz w:val="15"/>
              </w:rPr>
              <w:t>زاوية تخصصية قابلة للنمو</w:t>
            </w:r>
          </w:p>
        </w:tc>
      </w:tr>
      <w:tr>
        <w:tc>
          <w:tcPr>
            <w:tcW w:type="dxa" w:w="450"/>
            <w:vAlign w:val="center"/>
            <w:shd w:fill="F7F8FA"/>
          </w:tcPr>
          <w:p>
            <w:pPr>
              <w:jc w:val="right"/>
              <w:bidi w:val="1"/>
            </w:pPr>
            <w:r>
              <w:rPr>
                <w:rFonts w:ascii="DejaVu Sans" w:hAnsi="DejaVu Sans" w:cs="DejaVu Sans"/>
                <w:b w:val="0"/>
                <w:color w:val="171A1F"/>
                <w:sz w:val="15"/>
              </w:rPr>
              <w:t>10</w:t>
            </w:r>
          </w:p>
        </w:tc>
        <w:tc>
          <w:tcPr>
            <w:tcW w:type="dxa" w:w="2050"/>
            <w:vAlign w:val="center"/>
            <w:shd w:fill="F7F8FA"/>
          </w:tcPr>
          <w:p>
            <w:pPr>
              <w:jc w:val="center"/>
              <w:bidi w:val="1"/>
            </w:pPr>
            <w:r>
              <w:rPr>
                <w:rFonts w:ascii="DejaVu Sans" w:hAnsi="DejaVu Sans" w:cs="DejaVu Sans"/>
                <w:b w:val="0"/>
                <w:color w:val="171A1F"/>
                <w:sz w:val="15"/>
              </w:rPr>
              <w:t>STAT</w:t>
            </w:r>
          </w:p>
        </w:tc>
        <w:tc>
          <w:tcPr>
            <w:tcW w:type="dxa" w:w="1100"/>
            <w:vAlign w:val="center"/>
            <w:shd w:fill="F7F8FA"/>
          </w:tcPr>
          <w:p>
            <w:pPr>
              <w:jc w:val="center"/>
              <w:bidi w:val="1"/>
            </w:pPr>
            <w:r>
              <w:rPr>
                <w:rFonts w:ascii="DejaVu Sans" w:hAnsi="DejaVu Sans" w:cs="DejaVu Sans"/>
                <w:b w:val="0"/>
                <w:color w:val="171A1F"/>
                <w:sz w:val="15"/>
              </w:rPr>
              <w:t>8,565</w:t>
            </w:r>
          </w:p>
        </w:tc>
        <w:tc>
          <w:tcPr>
            <w:tcW w:type="dxa" w:w="1300"/>
            <w:vAlign w:val="center"/>
            <w:shd w:fill="F7F8FA"/>
          </w:tcPr>
          <w:p>
            <w:pPr>
              <w:jc w:val="center"/>
              <w:bidi w:val="1"/>
            </w:pPr>
            <w:r>
              <w:rPr>
                <w:rFonts w:ascii="DejaVu Sans" w:hAnsi="DejaVu Sans" w:cs="DejaVu Sans"/>
                <w:b w:val="0"/>
                <w:color w:val="171A1F"/>
                <w:sz w:val="15"/>
              </w:rPr>
              <w:t>سعودي</w:t>
            </w:r>
          </w:p>
        </w:tc>
        <w:tc>
          <w:tcPr>
            <w:tcW w:type="dxa" w:w="900"/>
            <w:vAlign w:val="center"/>
            <w:shd w:fill="F7F8FA"/>
          </w:tcPr>
          <w:p>
            <w:pPr>
              <w:jc w:val="center"/>
              <w:bidi w:val="1"/>
            </w:pPr>
            <w:r>
              <w:rPr>
                <w:rFonts w:ascii="DejaVu Sans" w:hAnsi="DejaVu Sans" w:cs="DejaVu Sans"/>
                <w:b w:val="0"/>
                <w:color w:val="171A1F"/>
                <w:sz w:val="15"/>
              </w:rPr>
              <w:t>69</w:t>
            </w:r>
          </w:p>
        </w:tc>
        <w:tc>
          <w:tcPr>
            <w:tcW w:type="dxa" w:w="3320"/>
            <w:vAlign w:val="center"/>
            <w:shd w:fill="F7F8FA"/>
          </w:tcPr>
          <w:p>
            <w:pPr>
              <w:jc w:val="center"/>
              <w:bidi w:val="1"/>
            </w:pPr>
            <w:r>
              <w:rPr>
                <w:rFonts w:ascii="DejaVu Sans" w:hAnsi="DejaVu Sans" w:cs="DejaVu Sans"/>
                <w:b w:val="0"/>
                <w:color w:val="171A1F"/>
                <w:sz w:val="15"/>
              </w:rPr>
              <w:t>تموضع نوعي أكثر من جماهيري</w:t>
            </w:r>
          </w:p>
        </w:tc>
      </w:tr>
      <w:tr>
        <w:tc>
          <w:tcPr>
            <w:tcW w:type="dxa" w:w="450"/>
            <w:vAlign w:val="center"/>
          </w:tcPr>
          <w:p>
            <w:pPr>
              <w:jc w:val="right"/>
              <w:bidi w:val="1"/>
            </w:pPr>
            <w:r>
              <w:rPr>
                <w:rFonts w:ascii="DejaVu Sans" w:hAnsi="DejaVu Sans" w:cs="DejaVu Sans"/>
                <w:b w:val="0"/>
                <w:color w:val="171A1F"/>
                <w:sz w:val="15"/>
              </w:rPr>
              <w:t>11</w:t>
            </w:r>
          </w:p>
        </w:tc>
        <w:tc>
          <w:tcPr>
            <w:tcW w:type="dxa" w:w="2050"/>
            <w:vAlign w:val="center"/>
          </w:tcPr>
          <w:p>
            <w:pPr>
              <w:jc w:val="center"/>
              <w:bidi w:val="1"/>
            </w:pPr>
            <w:r>
              <w:rPr>
                <w:rFonts w:ascii="DejaVu Sans" w:hAnsi="DejaVu Sans" w:cs="DejaVu Sans"/>
                <w:b w:val="0"/>
                <w:color w:val="171A1F"/>
                <w:sz w:val="15"/>
              </w:rPr>
              <w:t>الدبعان ومشاركوه / Eversheds</w:t>
            </w:r>
          </w:p>
        </w:tc>
        <w:tc>
          <w:tcPr>
            <w:tcW w:type="dxa" w:w="1100"/>
            <w:vAlign w:val="center"/>
          </w:tcPr>
          <w:p>
            <w:pPr>
              <w:jc w:val="center"/>
              <w:bidi w:val="1"/>
            </w:pPr>
            <w:r>
              <w:rPr>
                <w:rFonts w:ascii="DejaVu Sans" w:hAnsi="DejaVu Sans" w:cs="DejaVu Sans"/>
                <w:b w:val="0"/>
                <w:color w:val="171A1F"/>
                <w:sz w:val="15"/>
              </w:rPr>
              <w:t>7,188</w:t>
            </w:r>
          </w:p>
        </w:tc>
        <w:tc>
          <w:tcPr>
            <w:tcW w:type="dxa" w:w="1300"/>
            <w:vAlign w:val="center"/>
          </w:tcPr>
          <w:p>
            <w:pPr>
              <w:jc w:val="center"/>
              <w:bidi w:val="1"/>
            </w:pPr>
            <w:r>
              <w:rPr>
                <w:rFonts w:ascii="DejaVu Sans" w:hAnsi="DejaVu Sans" w:cs="DejaVu Sans"/>
                <w:b w:val="0"/>
                <w:color w:val="171A1F"/>
                <w:sz w:val="15"/>
              </w:rPr>
              <w:t>سعودي/دولي</w:t>
            </w:r>
          </w:p>
        </w:tc>
        <w:tc>
          <w:tcPr>
            <w:tcW w:type="dxa" w:w="900"/>
            <w:vAlign w:val="center"/>
          </w:tcPr>
          <w:p>
            <w:pPr>
              <w:jc w:val="center"/>
              <w:bidi w:val="1"/>
            </w:pPr>
            <w:r>
              <w:rPr>
                <w:rFonts w:ascii="DejaVu Sans" w:hAnsi="DejaVu Sans" w:cs="DejaVu Sans"/>
                <w:b w:val="0"/>
                <w:color w:val="171A1F"/>
                <w:sz w:val="15"/>
              </w:rPr>
              <w:t>66</w:t>
            </w:r>
          </w:p>
        </w:tc>
        <w:tc>
          <w:tcPr>
            <w:tcW w:type="dxa" w:w="3320"/>
            <w:vAlign w:val="center"/>
          </w:tcPr>
          <w:p>
            <w:pPr>
              <w:jc w:val="center"/>
              <w:bidi w:val="1"/>
            </w:pPr>
            <w:r>
              <w:rPr>
                <w:rFonts w:ascii="DejaVu Sans" w:hAnsi="DejaVu Sans" w:cs="DejaVu Sans"/>
                <w:b w:val="0"/>
                <w:color w:val="171A1F"/>
                <w:sz w:val="15"/>
              </w:rPr>
              <w:t>ثقة مؤسسية مع فجوة في المحتوى المعرفي</w:t>
            </w:r>
          </w:p>
        </w:tc>
      </w:tr>
      <w:tr>
        <w:tc>
          <w:tcPr>
            <w:tcW w:type="dxa" w:w="450"/>
            <w:vAlign w:val="center"/>
            <w:shd w:fill="F7F8FA"/>
          </w:tcPr>
          <w:p>
            <w:pPr>
              <w:jc w:val="right"/>
              <w:bidi w:val="1"/>
            </w:pPr>
            <w:r>
              <w:rPr>
                <w:rFonts w:ascii="DejaVu Sans" w:hAnsi="DejaVu Sans" w:cs="DejaVu Sans"/>
                <w:b w:val="0"/>
                <w:color w:val="171A1F"/>
                <w:sz w:val="15"/>
              </w:rPr>
              <w:t>12</w:t>
            </w:r>
          </w:p>
        </w:tc>
        <w:tc>
          <w:tcPr>
            <w:tcW w:type="dxa" w:w="2050"/>
            <w:vAlign w:val="center"/>
            <w:shd w:fill="F7F8FA"/>
          </w:tcPr>
          <w:p>
            <w:pPr>
              <w:jc w:val="center"/>
              <w:bidi w:val="1"/>
            </w:pPr>
            <w:r>
              <w:rPr>
                <w:rFonts w:ascii="DejaVu Sans" w:hAnsi="DejaVu Sans" w:cs="DejaVu Sans"/>
                <w:b w:val="0"/>
                <w:color w:val="171A1F"/>
                <w:sz w:val="15"/>
              </w:rPr>
              <w:t>عبدالعزيز الفريان</w:t>
            </w:r>
          </w:p>
        </w:tc>
        <w:tc>
          <w:tcPr>
            <w:tcW w:type="dxa" w:w="1100"/>
            <w:vAlign w:val="center"/>
            <w:shd w:fill="F7F8FA"/>
          </w:tcPr>
          <w:p>
            <w:pPr>
              <w:jc w:val="center"/>
              <w:bidi w:val="1"/>
            </w:pPr>
            <w:r>
              <w:rPr>
                <w:rFonts w:ascii="DejaVu Sans" w:hAnsi="DejaVu Sans" w:cs="DejaVu Sans"/>
                <w:b w:val="0"/>
                <w:color w:val="171A1F"/>
                <w:sz w:val="15"/>
              </w:rPr>
              <w:t>4,763</w:t>
            </w:r>
          </w:p>
        </w:tc>
        <w:tc>
          <w:tcPr>
            <w:tcW w:type="dxa" w:w="1300"/>
            <w:vAlign w:val="center"/>
            <w:shd w:fill="F7F8FA"/>
          </w:tcPr>
          <w:p>
            <w:pPr>
              <w:jc w:val="center"/>
              <w:bidi w:val="1"/>
            </w:pPr>
            <w:r>
              <w:rPr>
                <w:rFonts w:ascii="DejaVu Sans" w:hAnsi="DejaVu Sans" w:cs="DejaVu Sans"/>
                <w:b w:val="0"/>
                <w:color w:val="171A1F"/>
                <w:sz w:val="15"/>
              </w:rPr>
              <w:t>سعودي</w:t>
            </w:r>
          </w:p>
        </w:tc>
        <w:tc>
          <w:tcPr>
            <w:tcW w:type="dxa" w:w="900"/>
            <w:vAlign w:val="center"/>
            <w:shd w:fill="F7F8FA"/>
          </w:tcPr>
          <w:p>
            <w:pPr>
              <w:jc w:val="center"/>
              <w:bidi w:val="1"/>
            </w:pPr>
            <w:r>
              <w:rPr>
                <w:rFonts w:ascii="DejaVu Sans" w:hAnsi="DejaVu Sans" w:cs="DejaVu Sans"/>
                <w:b w:val="0"/>
                <w:color w:val="171A1F"/>
                <w:sz w:val="15"/>
              </w:rPr>
              <w:t>60</w:t>
            </w:r>
          </w:p>
        </w:tc>
        <w:tc>
          <w:tcPr>
            <w:tcW w:type="dxa" w:w="3320"/>
            <w:vAlign w:val="center"/>
            <w:shd w:fill="F7F8FA"/>
          </w:tcPr>
          <w:p>
            <w:pPr>
              <w:jc w:val="center"/>
              <w:bidi w:val="1"/>
            </w:pPr>
            <w:r>
              <w:rPr>
                <w:rFonts w:ascii="DejaVu Sans" w:hAnsi="DejaVu Sans" w:cs="DejaVu Sans"/>
                <w:b w:val="0"/>
                <w:color w:val="171A1F"/>
                <w:sz w:val="15"/>
              </w:rPr>
              <w:t>انتظام جيد؛ تفاعل محدود نسبة للجمهور</w:t>
            </w:r>
          </w:p>
        </w:tc>
      </w:tr>
    </w:tbl>
    <w:p>
      <w:pPr>
        <w:spacing w:after="60"/>
      </w:pPr>
    </w:p>
    <w:p>
      <w:r>
        <w:drawing>
          <wp:inline xmlns:a="http://schemas.openxmlformats.org/drawingml/2006/main" xmlns:pic="http://schemas.openxmlformats.org/drawingml/2006/picture">
            <wp:extent cx="6400800" cy="4000011"/>
            <wp:docPr id="2" name="Picture 2"/>
            <wp:cNvGraphicFramePr>
              <a:graphicFrameLocks noChangeAspect="1"/>
            </wp:cNvGraphicFramePr>
            <a:graphic>
              <a:graphicData uri="http://schemas.openxmlformats.org/drawingml/2006/picture">
                <pic:pic>
                  <pic:nvPicPr>
                    <pic:cNvPr id="0" name="scores.png"/>
                    <pic:cNvPicPr/>
                  </pic:nvPicPr>
                  <pic:blipFill>
                    <a:blip r:embed="rId12"/>
                    <a:stretch>
                      <a:fillRect/>
                    </a:stretch>
                  </pic:blipFill>
                  <pic:spPr>
                    <a:xfrm>
                      <a:off x="0" y="0"/>
                      <a:ext cx="6400800" cy="4000011"/>
                    </a:xfrm>
                    <a:prstGeom prst="rect"/>
                  </pic:spPr>
                </pic:pic>
              </a:graphicData>
            </a:graphic>
          </wp:inline>
        </w:drawing>
      </w:r>
    </w:p>
    <w:p>
      <w:pPr>
        <w:spacing w:before="0" w:after="100" w:line="283" w:lineRule="auto"/>
        <w:jc w:val="center"/>
        <w:bidi w:val="1"/>
      </w:pPr>
      <w:r>
        <w:rPr>
          <w:rFonts w:ascii="DejaVu Sans" w:hAnsi="DejaVu Sans" w:cs="DejaVu Sans"/>
          <w:b w:val="0"/>
          <w:color w:val="5E6672"/>
          <w:sz w:val="16"/>
        </w:rPr>
        <w:t>شكل 2 – مؤشر النضج الإعلامي التحليلي. النقاط تقييم الدراسة وليست تصنيفًا رسميًا أو مقياسًا للإيرادات.</w:t>
      </w:r>
    </w:p>
    <w:p>
      <w:r>
        <w:br w:type="page"/>
      </w:r>
    </w:p>
    <w:p>
      <w:pPr>
        <w:pStyle w:val="Heading1"/>
        <w:jc w:val="right"/>
        <w:bidi w:val="1"/>
      </w:pPr>
      <w:r>
        <w:t>4. ماذا يحدث خلف الكواليس لدى النماذج الأقوى؟</w:t>
      </w:r>
    </w:p>
    <w:p>
      <w:pPr>
        <w:spacing w:before="0" w:after="100" w:line="283" w:lineRule="auto"/>
        <w:jc w:val="right"/>
        <w:bidi w:val="1"/>
      </w:pPr>
      <w:r>
        <w:rPr>
          <w:rFonts w:ascii="DejaVu Sans" w:hAnsi="DejaVu Sans" w:cs="DejaVu Sans"/>
          <w:b w:val="0"/>
          <w:color w:val="171A1F"/>
          <w:sz w:val="20"/>
        </w:rPr>
        <w:t>المنشور هو آخر خطوة فقط. النماذج الناضجة تعمل كسلسلة إنتاج معرفة وتوزيع، غالبًا بهذا التسلسل:</w:t>
      </w:r>
    </w:p>
    <w:p>
      <w:pPr>
        <w:pStyle w:val="ListNumber"/>
        <w:spacing w:after="60"/>
        <w:jc w:val="right"/>
        <w:bidi w:val="1"/>
      </w:pPr>
      <w:r>
        <w:rPr>
          <w:rFonts w:ascii="DejaVu Sans" w:hAnsi="DejaVu Sans" w:cs="DejaVu Sans"/>
          <w:b w:val="0"/>
          <w:color w:val="171A1F"/>
          <w:sz w:val="19"/>
        </w:rPr>
        <w:t>الرصد: مسؤول معرفة/محامٍ يلتقط نظامًا أو قرارًا أو سؤال عميل متكررًا.</w:t>
      </w:r>
    </w:p>
    <w:p>
      <w:pPr>
        <w:pStyle w:val="ListNumber"/>
        <w:spacing w:after="60"/>
        <w:jc w:val="right"/>
        <w:bidi w:val="1"/>
      </w:pPr>
      <w:r>
        <w:rPr>
          <w:rFonts w:ascii="DejaVu Sans" w:hAnsi="DejaVu Sans" w:cs="DejaVu Sans"/>
          <w:b w:val="0"/>
          <w:color w:val="171A1F"/>
          <w:sz w:val="19"/>
        </w:rPr>
        <w:t>الترشيح: اجتماع تحرير قصير يختار الموضوع وفق أثره التجاري، لا وفق حداثته فقط.</w:t>
      </w:r>
    </w:p>
    <w:p>
      <w:pPr>
        <w:pStyle w:val="ListNumber"/>
        <w:spacing w:after="60"/>
        <w:jc w:val="right"/>
        <w:bidi w:val="1"/>
      </w:pPr>
      <w:r>
        <w:rPr>
          <w:rFonts w:ascii="DejaVu Sans" w:hAnsi="DejaVu Sans" w:cs="DejaVu Sans"/>
          <w:b w:val="0"/>
          <w:color w:val="171A1F"/>
          <w:sz w:val="19"/>
        </w:rPr>
        <w:t>المذكرة: المختص يكتب 5–10 نقاط فنية ومخاطر التطبيق؛ التسويق لا يخترع الرأي القانوني.</w:t>
      </w:r>
    </w:p>
    <w:p>
      <w:pPr>
        <w:pStyle w:val="ListNumber"/>
        <w:spacing w:after="60"/>
        <w:jc w:val="right"/>
        <w:bidi w:val="1"/>
      </w:pPr>
      <w:r>
        <w:rPr>
          <w:rFonts w:ascii="DejaVu Sans" w:hAnsi="DejaVu Sans" w:cs="DejaVu Sans"/>
          <w:b w:val="0"/>
          <w:color w:val="171A1F"/>
          <w:sz w:val="19"/>
        </w:rPr>
        <w:t>التحرير: تحويل المذكرة إلى أصل رئيسي واحد: مقال، دليل، إحاطة عميل، أو ندوة.</w:t>
      </w:r>
    </w:p>
    <w:p>
      <w:pPr>
        <w:pStyle w:val="ListNumber"/>
        <w:spacing w:after="60"/>
        <w:jc w:val="right"/>
        <w:bidi w:val="1"/>
      </w:pPr>
      <w:r>
        <w:rPr>
          <w:rFonts w:ascii="DejaVu Sans" w:hAnsi="DejaVu Sans" w:cs="DejaVu Sans"/>
          <w:b w:val="0"/>
          <w:color w:val="171A1F"/>
          <w:sz w:val="19"/>
        </w:rPr>
        <w:t>المراجعة: شريك مسؤول يراجع الدقة، السرية، التعارض، الادعاءات، ونبرة المكتب.</w:t>
      </w:r>
    </w:p>
    <w:p>
      <w:pPr>
        <w:pStyle w:val="ListNumber"/>
        <w:spacing w:after="60"/>
        <w:jc w:val="right"/>
        <w:bidi w:val="1"/>
      </w:pPr>
      <w:r>
        <w:rPr>
          <w:rFonts w:ascii="DejaVu Sans" w:hAnsi="DejaVu Sans" w:cs="DejaVu Sans"/>
          <w:b w:val="0"/>
          <w:color w:val="171A1F"/>
          <w:sz w:val="19"/>
        </w:rPr>
        <w:t>التجزئة: استخراج 6–12 مادة من الأصل: شرائح، فيديو، اقتباسات، FAQ، بريد، وتعليق صحفي.</w:t>
      </w:r>
    </w:p>
    <w:p>
      <w:pPr>
        <w:pStyle w:val="ListNumber"/>
        <w:spacing w:after="60"/>
        <w:jc w:val="right"/>
        <w:bidi w:val="1"/>
      </w:pPr>
      <w:r>
        <w:rPr>
          <w:rFonts w:ascii="DejaVu Sans" w:hAnsi="DejaVu Sans" w:cs="DejaVu Sans"/>
          <w:b w:val="0"/>
          <w:color w:val="171A1F"/>
          <w:sz w:val="19"/>
        </w:rPr>
        <w:t>التوزيع: صفحة المكتب + حسابات المحامين + قائمة بريد + علاقات عامة + إعادة استهداف.</w:t>
      </w:r>
    </w:p>
    <w:p>
      <w:pPr>
        <w:pStyle w:val="ListNumber"/>
        <w:spacing w:after="60"/>
        <w:jc w:val="right"/>
        <w:bidi w:val="1"/>
      </w:pPr>
      <w:r>
        <w:rPr>
          <w:rFonts w:ascii="DejaVu Sans" w:hAnsi="DejaVu Sans" w:cs="DejaVu Sans"/>
          <w:b w:val="0"/>
          <w:color w:val="171A1F"/>
          <w:sz w:val="19"/>
        </w:rPr>
        <w:t>الالتقاط: صفحة هبوط أو نموذج تسجيل أو طلب إحاطة، ثم تسجيل المصدر داخل CRM.</w:t>
      </w:r>
    </w:p>
    <w:p>
      <w:pPr>
        <w:pStyle w:val="ListNumber"/>
        <w:spacing w:after="60"/>
        <w:jc w:val="right"/>
        <w:bidi w:val="1"/>
      </w:pPr>
      <w:r>
        <w:rPr>
          <w:rFonts w:ascii="DejaVu Sans" w:hAnsi="DejaVu Sans" w:cs="DejaVu Sans"/>
          <w:b w:val="0"/>
          <w:color w:val="171A1F"/>
          <w:sz w:val="19"/>
        </w:rPr>
        <w:t>التعلم: مراجعة شهرية للموضوعات التي جذبت صانعي قرار، لا الأعلى إعجابًا فقط.</w:t>
      </w:r>
    </w:p>
    <w:tbl>
      <w:tblPr>
        <w:tblW w:type="dxa" w:w="9120"/>
        <w:jc w:val="center"/>
        <w:tblLayout w:type="fixed"/>
        <w:tblLook w:firstColumn="1" w:firstRow="1" w:lastColumn="0" w:lastRow="0" w:noHBand="0" w:noVBand="1" w:val="04A0"/>
        <w:tblInd w:w="120" w:type="dxa"/>
      </w:tblPr>
      <w:tblGrid>
        <w:gridCol w:w="9120"/>
      </w:tblGrid>
      <w:tr>
        <w:tc>
          <w:tcPr>
            <w:tcW w:type="dxa" w:w="9120"/>
            <w:tcMar>
              <w:top w:w="100" w:type="dxa"/>
              <w:start w:w="110" w:type="dxa"/>
              <w:bottom w:w="100" w:type="dxa"/>
              <w:end w:w="110" w:type="dxa"/>
            </w:tcMar>
            <w:shd w:fill="EAF3EF"/>
          </w:tcPr>
          <w:p>
            <w:pPr>
              <w:jc w:val="right"/>
              <w:bidi w:val="1"/>
            </w:pPr>
            <w:r>
              <w:rPr>
                <w:rFonts w:ascii="DejaVu Sans" w:hAnsi="DejaVu Sans" w:cs="DejaVu Sans"/>
                <w:b/>
                <w:color w:val="101B2D"/>
                <w:sz w:val="20"/>
              </w:rPr>
              <w:t xml:space="preserve">الفرق الحاسم: </w:t>
            </w:r>
            <w:r>
              <w:rPr>
                <w:rFonts w:ascii="DejaVu Sans" w:hAnsi="DejaVu Sans" w:cs="DejaVu Sans"/>
                <w:b w:val="0"/>
                <w:color w:val="171A1F"/>
                <w:sz w:val="20"/>
              </w:rPr>
              <w:t>المكتب المتقدم لا يسأل «ماذا ننشر اليوم؟»؛ بل يسأل «ما القرار الذي يواجهه العميل هذا الشهر، ومن هو المحامي الذي يملك رأيًا مفيدًا فيه؟»</w:t>
            </w:r>
          </w:p>
        </w:tc>
      </w:tr>
    </w:tbl>
    <w:p>
      <w:pPr>
        <w:spacing w:after="40"/>
      </w:pPr>
    </w:p>
    <w:p>
      <w:pPr>
        <w:pStyle w:val="Heading2"/>
        <w:jc w:val="right"/>
        <w:bidi w:val="1"/>
      </w:pPr>
      <w:r>
        <w:t>أربعة نماذج تشغيلية مرصودة</w:t>
      </w:r>
    </w:p>
    <w:tbl>
      <w:tblPr>
        <w:tblStyle w:val="TableGrid"/>
        <w:tblW w:type="dxa" w:w="9120"/>
        <w:jc w:val="center"/>
        <w:tblLayout w:type="fixed"/>
        <w:tblLook w:firstColumn="1" w:firstRow="1" w:lastColumn="0" w:lastRow="0" w:noHBand="0" w:noVBand="1" w:val="04A0"/>
        <w:tblInd w:w="120" w:type="dxa"/>
      </w:tblPr>
      <w:tblGrid>
        <w:gridCol w:w="1450"/>
        <w:gridCol w:w="1850"/>
        <w:gridCol w:w="3000"/>
        <w:gridCol w:w="2820"/>
      </w:tblGrid>
      <w:tr>
        <w:trPr>
          <w:tblHeader/>
        </w:trPr>
        <w:tc>
          <w:tcPr>
            <w:tcW w:type="dxa" w:w="145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6"/>
              </w:rPr>
              <w:t>النموذج</w:t>
            </w:r>
          </w:p>
        </w:tc>
        <w:tc>
          <w:tcPr>
            <w:tcW w:type="dxa" w:w="185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6"/>
              </w:rPr>
              <w:t>الأمثلة</w:t>
            </w:r>
          </w:p>
        </w:tc>
        <w:tc>
          <w:tcPr>
            <w:tcW w:type="dxa" w:w="300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6"/>
              </w:rPr>
              <w:t>غرفة المحرك</w:t>
            </w:r>
          </w:p>
        </w:tc>
        <w:tc>
          <w:tcPr>
            <w:tcW w:type="dxa" w:w="282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6"/>
              </w:rPr>
              <w:t>المخرج</w:t>
            </w:r>
          </w:p>
        </w:tc>
      </w:tr>
      <w:tr>
        <w:tc>
          <w:tcPr>
            <w:tcW w:type="dxa" w:w="1450"/>
            <w:vAlign w:val="center"/>
          </w:tcPr>
          <w:p>
            <w:pPr>
              <w:jc w:val="right"/>
              <w:bidi w:val="1"/>
            </w:pPr>
            <w:r>
              <w:rPr>
                <w:rFonts w:ascii="DejaVu Sans" w:hAnsi="DejaVu Sans" w:cs="DejaVu Sans"/>
                <w:b w:val="0"/>
                <w:color w:val="171A1F"/>
                <w:sz w:val="16"/>
              </w:rPr>
              <w:t>ناشر قانوني</w:t>
            </w:r>
          </w:p>
        </w:tc>
        <w:tc>
          <w:tcPr>
            <w:tcW w:type="dxa" w:w="1850"/>
            <w:vAlign w:val="center"/>
          </w:tcPr>
          <w:p>
            <w:pPr>
              <w:jc w:val="center"/>
              <w:bidi w:val="1"/>
            </w:pPr>
            <w:r>
              <w:rPr>
                <w:rFonts w:ascii="DejaVu Sans" w:hAnsi="DejaVu Sans" w:cs="DejaVu Sans"/>
                <w:b w:val="0"/>
                <w:color w:val="171A1F"/>
                <w:sz w:val="16"/>
              </w:rPr>
              <w:t>التميمي، Z&amp;Co.</w:t>
            </w:r>
          </w:p>
        </w:tc>
        <w:tc>
          <w:tcPr>
            <w:tcW w:type="dxa" w:w="3000"/>
            <w:vAlign w:val="center"/>
          </w:tcPr>
          <w:p>
            <w:pPr>
              <w:jc w:val="center"/>
              <w:bidi w:val="1"/>
            </w:pPr>
            <w:r>
              <w:rPr>
                <w:rFonts w:ascii="DejaVu Sans" w:hAnsi="DejaVu Sans" w:cs="DejaVu Sans"/>
                <w:b w:val="0"/>
                <w:color w:val="171A1F"/>
                <w:sz w:val="16"/>
              </w:rPr>
              <w:t>تقويم تشريعي + محرر + خبراء قطاعات</w:t>
            </w:r>
          </w:p>
        </w:tc>
        <w:tc>
          <w:tcPr>
            <w:tcW w:type="dxa" w:w="2820"/>
            <w:vAlign w:val="center"/>
          </w:tcPr>
          <w:p>
            <w:pPr>
              <w:jc w:val="center"/>
              <w:bidi w:val="1"/>
            </w:pPr>
            <w:r>
              <w:rPr>
                <w:rFonts w:ascii="DejaVu Sans" w:hAnsi="DejaVu Sans" w:cs="DejaVu Sans"/>
                <w:b w:val="0"/>
                <w:color w:val="171A1F"/>
                <w:sz w:val="16"/>
              </w:rPr>
              <w:t>نشرة/ندوة/تحديثات مستمرة</w:t>
            </w:r>
          </w:p>
        </w:tc>
      </w:tr>
      <w:tr>
        <w:tc>
          <w:tcPr>
            <w:tcW w:type="dxa" w:w="1450"/>
            <w:vAlign w:val="center"/>
            <w:shd w:fill="F7F8FA"/>
          </w:tcPr>
          <w:p>
            <w:pPr>
              <w:jc w:val="right"/>
              <w:bidi w:val="1"/>
            </w:pPr>
            <w:r>
              <w:rPr>
                <w:rFonts w:ascii="DejaVu Sans" w:hAnsi="DejaVu Sans" w:cs="DejaVu Sans"/>
                <w:b w:val="0"/>
                <w:color w:val="171A1F"/>
                <w:sz w:val="16"/>
              </w:rPr>
              <w:t>برهان المكانة</w:t>
            </w:r>
          </w:p>
        </w:tc>
        <w:tc>
          <w:tcPr>
            <w:tcW w:type="dxa" w:w="1850"/>
            <w:vAlign w:val="center"/>
            <w:shd w:fill="F7F8FA"/>
          </w:tcPr>
          <w:p>
            <w:pPr>
              <w:jc w:val="center"/>
              <w:bidi w:val="1"/>
            </w:pPr>
            <w:r>
              <w:rPr>
                <w:rFonts w:ascii="DejaVu Sans" w:hAnsi="DejaVu Sans" w:cs="DejaVu Sans"/>
                <w:b w:val="0"/>
                <w:color w:val="171A1F"/>
                <w:sz w:val="16"/>
              </w:rPr>
              <w:t>الخشيم، AS&amp;H</w:t>
            </w:r>
          </w:p>
        </w:tc>
        <w:tc>
          <w:tcPr>
            <w:tcW w:type="dxa" w:w="3000"/>
            <w:vAlign w:val="center"/>
            <w:shd w:fill="F7F8FA"/>
          </w:tcPr>
          <w:p>
            <w:pPr>
              <w:jc w:val="center"/>
              <w:bidi w:val="1"/>
            </w:pPr>
            <w:r>
              <w:rPr>
                <w:rFonts w:ascii="DejaVu Sans" w:hAnsi="DejaVu Sans" w:cs="DejaVu Sans"/>
                <w:b w:val="0"/>
                <w:color w:val="171A1F"/>
                <w:sz w:val="16"/>
              </w:rPr>
              <w:t>فريق submissions + صفقات + علاقات أدلة قانونية</w:t>
            </w:r>
          </w:p>
        </w:tc>
        <w:tc>
          <w:tcPr>
            <w:tcW w:type="dxa" w:w="2820"/>
            <w:vAlign w:val="center"/>
            <w:shd w:fill="F7F8FA"/>
          </w:tcPr>
          <w:p>
            <w:pPr>
              <w:jc w:val="center"/>
              <w:bidi w:val="1"/>
            </w:pPr>
            <w:r>
              <w:rPr>
                <w:rFonts w:ascii="DejaVu Sans" w:hAnsi="DejaVu Sans" w:cs="DejaVu Sans"/>
                <w:b w:val="0"/>
                <w:color w:val="171A1F"/>
                <w:sz w:val="16"/>
              </w:rPr>
              <w:t>جوائز وتصنيفات وثقة مشتري</w:t>
            </w:r>
          </w:p>
        </w:tc>
      </w:tr>
      <w:tr>
        <w:tc>
          <w:tcPr>
            <w:tcW w:type="dxa" w:w="1450"/>
            <w:vAlign w:val="center"/>
          </w:tcPr>
          <w:p>
            <w:pPr>
              <w:jc w:val="right"/>
              <w:bidi w:val="1"/>
            </w:pPr>
            <w:r>
              <w:rPr>
                <w:rFonts w:ascii="DejaVu Sans" w:hAnsi="DejaVu Sans" w:cs="DejaVu Sans"/>
                <w:b w:val="0"/>
                <w:color w:val="171A1F"/>
                <w:sz w:val="16"/>
              </w:rPr>
              <w:t>ثقافة وجمهور</w:t>
            </w:r>
          </w:p>
        </w:tc>
        <w:tc>
          <w:tcPr>
            <w:tcW w:type="dxa" w:w="1850"/>
            <w:vAlign w:val="center"/>
          </w:tcPr>
          <w:p>
            <w:pPr>
              <w:jc w:val="center"/>
              <w:bidi w:val="1"/>
            </w:pPr>
            <w:r>
              <w:rPr>
                <w:rFonts w:ascii="DejaVu Sans" w:hAnsi="DejaVu Sans" w:cs="DejaVu Sans"/>
                <w:b w:val="0"/>
                <w:color w:val="171A1F"/>
                <w:sz w:val="16"/>
              </w:rPr>
              <w:t>إياد رضا</w:t>
            </w:r>
          </w:p>
        </w:tc>
        <w:tc>
          <w:tcPr>
            <w:tcW w:type="dxa" w:w="3000"/>
            <w:vAlign w:val="center"/>
          </w:tcPr>
          <w:p>
            <w:pPr>
              <w:jc w:val="center"/>
              <w:bidi w:val="1"/>
            </w:pPr>
            <w:r>
              <w:rPr>
                <w:rFonts w:ascii="DejaVu Sans" w:hAnsi="DejaVu Sans" w:cs="DejaVu Sans"/>
                <w:b w:val="0"/>
                <w:color w:val="171A1F"/>
                <w:sz w:val="16"/>
              </w:rPr>
              <w:t>موارد بشرية + تصوير + تقويم مناسبات</w:t>
            </w:r>
          </w:p>
        </w:tc>
        <w:tc>
          <w:tcPr>
            <w:tcW w:type="dxa" w:w="2820"/>
            <w:vAlign w:val="center"/>
          </w:tcPr>
          <w:p>
            <w:pPr>
              <w:jc w:val="center"/>
              <w:bidi w:val="1"/>
            </w:pPr>
            <w:r>
              <w:rPr>
                <w:rFonts w:ascii="DejaVu Sans" w:hAnsi="DejaVu Sans" w:cs="DejaVu Sans"/>
                <w:b w:val="0"/>
                <w:color w:val="171A1F"/>
                <w:sz w:val="16"/>
              </w:rPr>
              <w:t>وصول وتوظيف وتذكّر العلامة</w:t>
            </w:r>
          </w:p>
        </w:tc>
      </w:tr>
      <w:tr>
        <w:tc>
          <w:tcPr>
            <w:tcW w:type="dxa" w:w="1450"/>
            <w:vAlign w:val="center"/>
            <w:shd w:fill="F7F8FA"/>
          </w:tcPr>
          <w:p>
            <w:pPr>
              <w:jc w:val="right"/>
              <w:bidi w:val="1"/>
            </w:pPr>
            <w:r>
              <w:rPr>
                <w:rFonts w:ascii="DejaVu Sans" w:hAnsi="DejaVu Sans" w:cs="DejaVu Sans"/>
                <w:b w:val="0"/>
                <w:color w:val="171A1F"/>
                <w:sz w:val="16"/>
              </w:rPr>
              <w:t>تموضع تخصصي</w:t>
            </w:r>
          </w:p>
        </w:tc>
        <w:tc>
          <w:tcPr>
            <w:tcW w:type="dxa" w:w="1850"/>
            <w:vAlign w:val="center"/>
            <w:shd w:fill="F7F8FA"/>
          </w:tcPr>
          <w:p>
            <w:pPr>
              <w:jc w:val="center"/>
              <w:bidi w:val="1"/>
            </w:pPr>
            <w:r>
              <w:rPr>
                <w:rFonts w:ascii="DejaVu Sans" w:hAnsi="DejaVu Sans" w:cs="DejaVu Sans"/>
                <w:b w:val="0"/>
                <w:color w:val="171A1F"/>
                <w:sz w:val="16"/>
              </w:rPr>
              <w:t>SuhailPartners، قيصر متولي</w:t>
            </w:r>
          </w:p>
        </w:tc>
        <w:tc>
          <w:tcPr>
            <w:tcW w:type="dxa" w:w="3000"/>
            <w:vAlign w:val="center"/>
            <w:shd w:fill="F7F8FA"/>
          </w:tcPr>
          <w:p>
            <w:pPr>
              <w:jc w:val="center"/>
              <w:bidi w:val="1"/>
            </w:pPr>
            <w:r>
              <w:rPr>
                <w:rFonts w:ascii="DejaVu Sans" w:hAnsi="DejaVu Sans" w:cs="DejaVu Sans"/>
                <w:b w:val="0"/>
                <w:color w:val="171A1F"/>
                <w:sz w:val="16"/>
              </w:rPr>
              <w:t>شريك ظاهر + قطاع واضح + لغة سوق</w:t>
            </w:r>
          </w:p>
        </w:tc>
        <w:tc>
          <w:tcPr>
            <w:tcW w:type="dxa" w:w="2820"/>
            <w:vAlign w:val="center"/>
            <w:shd w:fill="F7F8FA"/>
          </w:tcPr>
          <w:p>
            <w:pPr>
              <w:jc w:val="center"/>
              <w:bidi w:val="1"/>
            </w:pPr>
            <w:r>
              <w:rPr>
                <w:rFonts w:ascii="DejaVu Sans" w:hAnsi="DejaVu Sans" w:cs="DejaVu Sans"/>
                <w:b w:val="0"/>
                <w:color w:val="171A1F"/>
                <w:sz w:val="16"/>
              </w:rPr>
              <w:t>جمهور أصغر عالي الصلة</w:t>
            </w:r>
          </w:p>
        </w:tc>
      </w:tr>
    </w:tbl>
    <w:p>
      <w:pPr>
        <w:spacing w:after="60"/>
      </w:pPr>
    </w:p>
    <w:p>
      <w:r>
        <w:br w:type="page"/>
      </w:r>
    </w:p>
    <w:p>
      <w:pPr>
        <w:pStyle w:val="Heading1"/>
        <w:jc w:val="right"/>
        <w:bidi w:val="1"/>
      </w:pPr>
      <w:r>
        <w:t>5. تشريح منهجية كل منافس</w:t>
      </w:r>
    </w:p>
    <w:tbl>
      <w:tblPr>
        <w:tblStyle w:val="TableGrid"/>
        <w:tblW w:type="dxa" w:w="9120"/>
        <w:jc w:val="center"/>
        <w:tblLayout w:type="fixed"/>
        <w:tblLook w:firstColumn="1" w:firstRow="1" w:lastColumn="0" w:lastRow="0" w:noHBand="0" w:noVBand="1" w:val="04A0"/>
        <w:tblInd w:w="120" w:type="dxa"/>
      </w:tblPr>
      <w:tblGrid>
        <w:gridCol w:w="1900"/>
        <w:gridCol w:w="4250"/>
        <w:gridCol w:w="2970"/>
      </w:tblGrid>
      <w:tr>
        <w:trPr>
          <w:tblHeader/>
        </w:trPr>
        <w:tc>
          <w:tcPr>
            <w:tcW w:type="dxa" w:w="190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5"/>
              </w:rPr>
              <w:t>الجهة</w:t>
            </w:r>
          </w:p>
        </w:tc>
        <w:tc>
          <w:tcPr>
            <w:tcW w:type="dxa" w:w="425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5"/>
              </w:rPr>
              <w:t>منهجية الظهور المرصودة</w:t>
            </w:r>
          </w:p>
        </w:tc>
        <w:tc>
          <w:tcPr>
            <w:tcW w:type="dxa" w:w="297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5"/>
              </w:rPr>
              <w:t>الحكم التطبيقي</w:t>
            </w:r>
          </w:p>
        </w:tc>
      </w:tr>
      <w:tr>
        <w:tc>
          <w:tcPr>
            <w:tcW w:type="dxa" w:w="1900"/>
            <w:vAlign w:val="center"/>
          </w:tcPr>
          <w:p>
            <w:pPr>
              <w:jc w:val="right"/>
              <w:bidi w:val="1"/>
            </w:pPr>
            <w:r>
              <w:rPr>
                <w:rFonts w:ascii="DejaVu Sans" w:hAnsi="DejaVu Sans" w:cs="DejaVu Sans"/>
                <w:b w:val="0"/>
                <w:color w:val="171A1F"/>
                <w:sz w:val="15"/>
              </w:rPr>
              <w:t>التميمي ومشاركوه</w:t>
            </w:r>
          </w:p>
        </w:tc>
        <w:tc>
          <w:tcPr>
            <w:tcW w:type="dxa" w:w="4250"/>
            <w:vAlign w:val="center"/>
          </w:tcPr>
          <w:p>
            <w:pPr>
              <w:jc w:val="center"/>
              <w:bidi w:val="1"/>
            </w:pPr>
            <w:r>
              <w:rPr>
                <w:rFonts w:ascii="DejaVu Sans" w:hAnsi="DejaVu Sans" w:cs="DejaVu Sans"/>
                <w:b w:val="0"/>
                <w:color w:val="171A1F"/>
                <w:sz w:val="15"/>
              </w:rPr>
              <w:t>منصة معرفة إقليمية + نشرات قانونية + شبكة محامين</w:t>
            </w:r>
          </w:p>
        </w:tc>
        <w:tc>
          <w:tcPr>
            <w:tcW w:type="dxa" w:w="2970"/>
            <w:vAlign w:val="center"/>
          </w:tcPr>
          <w:p>
            <w:pPr>
              <w:jc w:val="center"/>
              <w:bidi w:val="1"/>
            </w:pPr>
            <w:r>
              <w:rPr>
                <w:rFonts w:ascii="DejaVu Sans" w:hAnsi="DejaVu Sans" w:cs="DejaVu Sans"/>
                <w:b w:val="0"/>
                <w:color w:val="171A1F"/>
                <w:sz w:val="15"/>
              </w:rPr>
              <w:t>الأقوى في بناء جمهور مؤسسي واسع</w:t>
            </w:r>
          </w:p>
        </w:tc>
      </w:tr>
      <w:tr>
        <w:tc>
          <w:tcPr>
            <w:tcW w:type="dxa" w:w="1900"/>
            <w:vAlign w:val="center"/>
            <w:shd w:fill="F7F8FA"/>
          </w:tcPr>
          <w:p>
            <w:pPr>
              <w:jc w:val="right"/>
              <w:bidi w:val="1"/>
            </w:pPr>
            <w:r>
              <w:rPr>
                <w:rFonts w:ascii="DejaVu Sans" w:hAnsi="DejaVu Sans" w:cs="DejaVu Sans"/>
                <w:b w:val="0"/>
                <w:color w:val="171A1F"/>
                <w:sz w:val="15"/>
              </w:rPr>
              <w:t>إياد رضا</w:t>
            </w:r>
          </w:p>
        </w:tc>
        <w:tc>
          <w:tcPr>
            <w:tcW w:type="dxa" w:w="4250"/>
            <w:vAlign w:val="center"/>
            <w:shd w:fill="F7F8FA"/>
          </w:tcPr>
          <w:p>
            <w:pPr>
              <w:jc w:val="center"/>
              <w:bidi w:val="1"/>
            </w:pPr>
            <w:r>
              <w:rPr>
                <w:rFonts w:ascii="DejaVu Sans" w:hAnsi="DejaVu Sans" w:cs="DejaVu Sans"/>
                <w:b w:val="0"/>
                <w:color w:val="171A1F"/>
                <w:sz w:val="15"/>
              </w:rPr>
              <w:t>نشر كثيف ثنائي اللغة + ثقافة عمل + محتوى عام وقانوني</w:t>
            </w:r>
          </w:p>
        </w:tc>
        <w:tc>
          <w:tcPr>
            <w:tcW w:type="dxa" w:w="2970"/>
            <w:vAlign w:val="center"/>
            <w:shd w:fill="F7F8FA"/>
          </w:tcPr>
          <w:p>
            <w:pPr>
              <w:jc w:val="center"/>
              <w:bidi w:val="1"/>
            </w:pPr>
            <w:r>
              <w:rPr>
                <w:rFonts w:ascii="DejaVu Sans" w:hAnsi="DejaVu Sans" w:cs="DejaVu Sans"/>
                <w:b w:val="0"/>
                <w:color w:val="171A1F"/>
                <w:sz w:val="15"/>
              </w:rPr>
              <w:t>الأقوى محليًا في الوصول الجماهيري</w:t>
            </w:r>
          </w:p>
        </w:tc>
      </w:tr>
      <w:tr>
        <w:tc>
          <w:tcPr>
            <w:tcW w:type="dxa" w:w="1900"/>
            <w:vAlign w:val="center"/>
          </w:tcPr>
          <w:p>
            <w:pPr>
              <w:jc w:val="right"/>
              <w:bidi w:val="1"/>
            </w:pPr>
            <w:r>
              <w:rPr>
                <w:rFonts w:ascii="DejaVu Sans" w:hAnsi="DejaVu Sans" w:cs="DejaVu Sans"/>
                <w:b w:val="0"/>
                <w:color w:val="171A1F"/>
                <w:sz w:val="15"/>
              </w:rPr>
              <w:t>Z&amp;Co.</w:t>
            </w:r>
          </w:p>
        </w:tc>
        <w:tc>
          <w:tcPr>
            <w:tcW w:type="dxa" w:w="4250"/>
            <w:vAlign w:val="center"/>
          </w:tcPr>
          <w:p>
            <w:pPr>
              <w:jc w:val="center"/>
              <w:bidi w:val="1"/>
            </w:pPr>
            <w:r>
              <w:rPr>
                <w:rFonts w:ascii="DejaVu Sans" w:hAnsi="DejaVu Sans" w:cs="DejaVu Sans"/>
                <w:b w:val="0"/>
                <w:color w:val="171A1F"/>
                <w:sz w:val="15"/>
              </w:rPr>
              <w:t>تحديثات تنظيمية + ندوات + ربط مباشر باحتياجات الشركات</w:t>
            </w:r>
          </w:p>
        </w:tc>
        <w:tc>
          <w:tcPr>
            <w:tcW w:type="dxa" w:w="2970"/>
            <w:vAlign w:val="center"/>
          </w:tcPr>
          <w:p>
            <w:pPr>
              <w:jc w:val="center"/>
              <w:bidi w:val="1"/>
            </w:pPr>
            <w:r>
              <w:rPr>
                <w:rFonts w:ascii="DejaVu Sans" w:hAnsi="DejaVu Sans" w:cs="DejaVu Sans"/>
                <w:b w:val="0"/>
                <w:color w:val="171A1F"/>
                <w:sz w:val="15"/>
              </w:rPr>
              <w:t>أفضل توازن بين المعرفة والتحويل</w:t>
            </w:r>
          </w:p>
        </w:tc>
      </w:tr>
      <w:tr>
        <w:tc>
          <w:tcPr>
            <w:tcW w:type="dxa" w:w="1900"/>
            <w:vAlign w:val="center"/>
            <w:shd w:fill="F7F8FA"/>
          </w:tcPr>
          <w:p>
            <w:pPr>
              <w:jc w:val="right"/>
              <w:bidi w:val="1"/>
            </w:pPr>
            <w:r>
              <w:rPr>
                <w:rFonts w:ascii="DejaVu Sans" w:hAnsi="DejaVu Sans" w:cs="DejaVu Sans"/>
                <w:b w:val="0"/>
                <w:color w:val="171A1F"/>
                <w:sz w:val="15"/>
              </w:rPr>
              <w:t>حمّاد والمهيدب</w:t>
            </w:r>
          </w:p>
        </w:tc>
        <w:tc>
          <w:tcPr>
            <w:tcW w:type="dxa" w:w="4250"/>
            <w:vAlign w:val="center"/>
            <w:shd w:fill="F7F8FA"/>
          </w:tcPr>
          <w:p>
            <w:pPr>
              <w:jc w:val="center"/>
              <w:bidi w:val="1"/>
            </w:pPr>
            <w:r>
              <w:rPr>
                <w:rFonts w:ascii="DejaVu Sans" w:hAnsi="DejaVu Sans" w:cs="DejaVu Sans"/>
                <w:b w:val="0"/>
                <w:color w:val="171A1F"/>
                <w:sz w:val="15"/>
              </w:rPr>
              <w:t>هوية مؤسسية + معاملات كبرى + حضور إقليمي</w:t>
            </w:r>
          </w:p>
        </w:tc>
        <w:tc>
          <w:tcPr>
            <w:tcW w:type="dxa" w:w="2970"/>
            <w:vAlign w:val="center"/>
            <w:shd w:fill="F7F8FA"/>
          </w:tcPr>
          <w:p>
            <w:pPr>
              <w:jc w:val="center"/>
              <w:bidi w:val="1"/>
            </w:pPr>
            <w:r>
              <w:rPr>
                <w:rFonts w:ascii="DejaVu Sans" w:hAnsi="DejaVu Sans" w:cs="DejaVu Sans"/>
                <w:b w:val="0"/>
                <w:color w:val="171A1F"/>
                <w:sz w:val="15"/>
              </w:rPr>
              <w:t>علامة مؤسسية قوية خصوصًا في جدة</w:t>
            </w:r>
          </w:p>
        </w:tc>
      </w:tr>
      <w:tr>
        <w:tc>
          <w:tcPr>
            <w:tcW w:type="dxa" w:w="1900"/>
            <w:vAlign w:val="center"/>
          </w:tcPr>
          <w:p>
            <w:pPr>
              <w:jc w:val="right"/>
              <w:bidi w:val="1"/>
            </w:pPr>
            <w:r>
              <w:rPr>
                <w:rFonts w:ascii="DejaVu Sans" w:hAnsi="DejaVu Sans" w:cs="DejaVu Sans"/>
                <w:b w:val="0"/>
                <w:color w:val="171A1F"/>
                <w:sz w:val="15"/>
              </w:rPr>
              <w:t>الخُشيم ومشاركوه</w:t>
            </w:r>
          </w:p>
        </w:tc>
        <w:tc>
          <w:tcPr>
            <w:tcW w:type="dxa" w:w="4250"/>
            <w:vAlign w:val="center"/>
          </w:tcPr>
          <w:p>
            <w:pPr>
              <w:jc w:val="center"/>
              <w:bidi w:val="1"/>
            </w:pPr>
            <w:r>
              <w:rPr>
                <w:rFonts w:ascii="DejaVu Sans" w:hAnsi="DejaVu Sans" w:cs="DejaVu Sans"/>
                <w:b w:val="0"/>
                <w:color w:val="171A1F"/>
                <w:sz w:val="15"/>
              </w:rPr>
              <w:t>جوائز وتصنيفات + صفقات + قيادة الشركاء</w:t>
            </w:r>
          </w:p>
        </w:tc>
        <w:tc>
          <w:tcPr>
            <w:tcW w:type="dxa" w:w="2970"/>
            <w:vAlign w:val="center"/>
          </w:tcPr>
          <w:p>
            <w:pPr>
              <w:jc w:val="center"/>
              <w:bidi w:val="1"/>
            </w:pPr>
            <w:r>
              <w:rPr>
                <w:rFonts w:ascii="DejaVu Sans" w:hAnsi="DejaVu Sans" w:cs="DejaVu Sans"/>
                <w:b w:val="0"/>
                <w:color w:val="171A1F"/>
                <w:sz w:val="15"/>
              </w:rPr>
              <w:t>الأقوى في إثبات المكانة المهنية</w:t>
            </w:r>
          </w:p>
        </w:tc>
      </w:tr>
      <w:tr>
        <w:tc>
          <w:tcPr>
            <w:tcW w:type="dxa" w:w="1900"/>
            <w:vAlign w:val="center"/>
            <w:shd w:fill="F7F8FA"/>
          </w:tcPr>
          <w:p>
            <w:pPr>
              <w:jc w:val="right"/>
              <w:bidi w:val="1"/>
            </w:pPr>
            <w:r>
              <w:rPr>
                <w:rFonts w:ascii="DejaVu Sans" w:hAnsi="DejaVu Sans" w:cs="DejaVu Sans"/>
                <w:b w:val="0"/>
                <w:color w:val="171A1F"/>
                <w:sz w:val="15"/>
              </w:rPr>
              <w:t>AS&amp;H Clifford Chance</w:t>
            </w:r>
          </w:p>
        </w:tc>
        <w:tc>
          <w:tcPr>
            <w:tcW w:type="dxa" w:w="4250"/>
            <w:vAlign w:val="center"/>
            <w:shd w:fill="F7F8FA"/>
          </w:tcPr>
          <w:p>
            <w:pPr>
              <w:jc w:val="center"/>
              <w:bidi w:val="1"/>
            </w:pPr>
            <w:r>
              <w:rPr>
                <w:rFonts w:ascii="DejaVu Sans" w:hAnsi="DejaVu Sans" w:cs="DejaVu Sans"/>
                <w:b w:val="0"/>
                <w:color w:val="171A1F"/>
                <w:sz w:val="15"/>
              </w:rPr>
              <w:t>صفقات كبرى + جوائز + تضخيم عبر شبكة دولية</w:t>
            </w:r>
          </w:p>
        </w:tc>
        <w:tc>
          <w:tcPr>
            <w:tcW w:type="dxa" w:w="2970"/>
            <w:vAlign w:val="center"/>
            <w:shd w:fill="F7F8FA"/>
          </w:tcPr>
          <w:p>
            <w:pPr>
              <w:jc w:val="center"/>
              <w:bidi w:val="1"/>
            </w:pPr>
            <w:r>
              <w:rPr>
                <w:rFonts w:ascii="DejaVu Sans" w:hAnsi="DejaVu Sans" w:cs="DejaVu Sans"/>
                <w:b w:val="0"/>
                <w:color w:val="171A1F"/>
                <w:sz w:val="15"/>
              </w:rPr>
              <w:t>نفوذ عالٍ لدى المشترين المؤسسيين</w:t>
            </w:r>
          </w:p>
        </w:tc>
      </w:tr>
      <w:tr>
        <w:tc>
          <w:tcPr>
            <w:tcW w:type="dxa" w:w="1900"/>
            <w:vAlign w:val="center"/>
          </w:tcPr>
          <w:p>
            <w:pPr>
              <w:jc w:val="right"/>
              <w:bidi w:val="1"/>
            </w:pPr>
            <w:r>
              <w:rPr>
                <w:rFonts w:ascii="DejaVu Sans" w:hAnsi="DejaVu Sans" w:cs="DejaVu Sans"/>
                <w:b w:val="0"/>
                <w:color w:val="171A1F"/>
                <w:sz w:val="15"/>
              </w:rPr>
              <w:t>الحرساني والخميس</w:t>
            </w:r>
          </w:p>
        </w:tc>
        <w:tc>
          <w:tcPr>
            <w:tcW w:type="dxa" w:w="4250"/>
            <w:vAlign w:val="center"/>
          </w:tcPr>
          <w:p>
            <w:pPr>
              <w:jc w:val="center"/>
              <w:bidi w:val="1"/>
            </w:pPr>
            <w:r>
              <w:rPr>
                <w:rFonts w:ascii="DejaVu Sans" w:hAnsi="DejaVu Sans" w:cs="DejaVu Sans"/>
                <w:b w:val="0"/>
                <w:color w:val="171A1F"/>
                <w:sz w:val="15"/>
              </w:rPr>
              <w:t>منازعات + هوية سعودية مستقلة + إنجازات الفريق</w:t>
            </w:r>
          </w:p>
        </w:tc>
        <w:tc>
          <w:tcPr>
            <w:tcW w:type="dxa" w:w="2970"/>
            <w:vAlign w:val="center"/>
          </w:tcPr>
          <w:p>
            <w:pPr>
              <w:jc w:val="center"/>
              <w:bidi w:val="1"/>
            </w:pPr>
            <w:r>
              <w:rPr>
                <w:rFonts w:ascii="DejaVu Sans" w:hAnsi="DejaVu Sans" w:cs="DejaVu Sans"/>
                <w:b w:val="0"/>
                <w:color w:val="171A1F"/>
                <w:sz w:val="15"/>
              </w:rPr>
              <w:t>وضوح تخصصي جيد</w:t>
            </w:r>
          </w:p>
        </w:tc>
      </w:tr>
      <w:tr>
        <w:tc>
          <w:tcPr>
            <w:tcW w:type="dxa" w:w="1900"/>
            <w:vAlign w:val="center"/>
            <w:shd w:fill="F7F8FA"/>
          </w:tcPr>
          <w:p>
            <w:pPr>
              <w:jc w:val="right"/>
              <w:bidi w:val="1"/>
            </w:pPr>
            <w:r>
              <w:rPr>
                <w:rFonts w:ascii="DejaVu Sans" w:hAnsi="DejaVu Sans" w:cs="DejaVu Sans"/>
                <w:b w:val="0"/>
                <w:color w:val="171A1F"/>
                <w:sz w:val="15"/>
              </w:rPr>
              <w:t>STAT</w:t>
            </w:r>
          </w:p>
        </w:tc>
        <w:tc>
          <w:tcPr>
            <w:tcW w:type="dxa" w:w="4250"/>
            <w:vAlign w:val="center"/>
            <w:shd w:fill="F7F8FA"/>
          </w:tcPr>
          <w:p>
            <w:pPr>
              <w:jc w:val="center"/>
              <w:bidi w:val="1"/>
            </w:pPr>
            <w:r>
              <w:rPr>
                <w:rFonts w:ascii="DejaVu Sans" w:hAnsi="DejaVu Sans" w:cs="DejaVu Sans"/>
                <w:b w:val="0"/>
                <w:color w:val="171A1F"/>
                <w:sz w:val="15"/>
              </w:rPr>
              <w:t>خبرة دولية بصياغة سعودية + إبراز الكفاءات</w:t>
            </w:r>
          </w:p>
        </w:tc>
        <w:tc>
          <w:tcPr>
            <w:tcW w:type="dxa" w:w="2970"/>
            <w:vAlign w:val="center"/>
            <w:shd w:fill="F7F8FA"/>
          </w:tcPr>
          <w:p>
            <w:pPr>
              <w:jc w:val="center"/>
              <w:bidi w:val="1"/>
            </w:pPr>
            <w:r>
              <w:rPr>
                <w:rFonts w:ascii="DejaVu Sans" w:hAnsi="DejaVu Sans" w:cs="DejaVu Sans"/>
                <w:b w:val="0"/>
                <w:color w:val="171A1F"/>
                <w:sz w:val="15"/>
              </w:rPr>
              <w:t>تموضع نوعي أكثر من جماهيري</w:t>
            </w:r>
          </w:p>
        </w:tc>
      </w:tr>
      <w:tr>
        <w:tc>
          <w:tcPr>
            <w:tcW w:type="dxa" w:w="1900"/>
            <w:vAlign w:val="center"/>
          </w:tcPr>
          <w:p>
            <w:pPr>
              <w:jc w:val="right"/>
              <w:bidi w:val="1"/>
            </w:pPr>
            <w:r>
              <w:rPr>
                <w:rFonts w:ascii="DejaVu Sans" w:hAnsi="DejaVu Sans" w:cs="DejaVu Sans"/>
                <w:b w:val="0"/>
                <w:color w:val="171A1F"/>
                <w:sz w:val="15"/>
              </w:rPr>
              <w:t>الدبعان ومشاركوه / Eversheds</w:t>
            </w:r>
          </w:p>
        </w:tc>
        <w:tc>
          <w:tcPr>
            <w:tcW w:type="dxa" w:w="4250"/>
            <w:vAlign w:val="center"/>
          </w:tcPr>
          <w:p>
            <w:pPr>
              <w:jc w:val="center"/>
              <w:bidi w:val="1"/>
            </w:pPr>
            <w:r>
              <w:rPr>
                <w:rFonts w:ascii="DejaVu Sans" w:hAnsi="DejaVu Sans" w:cs="DejaVu Sans"/>
                <w:b w:val="0"/>
                <w:color w:val="171A1F"/>
                <w:sz w:val="15"/>
              </w:rPr>
              <w:t>التحالف الدولي + الترقيات + المناسبات المؤسسية</w:t>
            </w:r>
          </w:p>
        </w:tc>
        <w:tc>
          <w:tcPr>
            <w:tcW w:type="dxa" w:w="2970"/>
            <w:vAlign w:val="center"/>
          </w:tcPr>
          <w:p>
            <w:pPr>
              <w:jc w:val="center"/>
              <w:bidi w:val="1"/>
            </w:pPr>
            <w:r>
              <w:rPr>
                <w:rFonts w:ascii="DejaVu Sans" w:hAnsi="DejaVu Sans" w:cs="DejaVu Sans"/>
                <w:b w:val="0"/>
                <w:color w:val="171A1F"/>
                <w:sz w:val="15"/>
              </w:rPr>
              <w:t>ثقة مؤسسية مع فجوة في المحتوى المعرفي</w:t>
            </w:r>
          </w:p>
        </w:tc>
      </w:tr>
      <w:tr>
        <w:tc>
          <w:tcPr>
            <w:tcW w:type="dxa" w:w="1900"/>
            <w:vAlign w:val="center"/>
            <w:shd w:fill="F7F8FA"/>
          </w:tcPr>
          <w:p>
            <w:pPr>
              <w:jc w:val="right"/>
              <w:bidi w:val="1"/>
            </w:pPr>
            <w:r>
              <w:rPr>
                <w:rFonts w:ascii="DejaVu Sans" w:hAnsi="DejaVu Sans" w:cs="DejaVu Sans"/>
                <w:b w:val="0"/>
                <w:color w:val="171A1F"/>
                <w:sz w:val="15"/>
              </w:rPr>
              <w:t>عبدالعزيز الفريان</w:t>
            </w:r>
          </w:p>
        </w:tc>
        <w:tc>
          <w:tcPr>
            <w:tcW w:type="dxa" w:w="4250"/>
            <w:vAlign w:val="center"/>
            <w:shd w:fill="F7F8FA"/>
          </w:tcPr>
          <w:p>
            <w:pPr>
              <w:jc w:val="center"/>
              <w:bidi w:val="1"/>
            </w:pPr>
            <w:r>
              <w:rPr>
                <w:rFonts w:ascii="DejaVu Sans" w:hAnsi="DejaVu Sans" w:cs="DejaVu Sans"/>
                <w:b w:val="0"/>
                <w:color w:val="171A1F"/>
                <w:sz w:val="15"/>
              </w:rPr>
              <w:t>بطاقات توعوية قانونية قصيرة بالعربية</w:t>
            </w:r>
          </w:p>
        </w:tc>
        <w:tc>
          <w:tcPr>
            <w:tcW w:type="dxa" w:w="2970"/>
            <w:vAlign w:val="center"/>
            <w:shd w:fill="F7F8FA"/>
          </w:tcPr>
          <w:p>
            <w:pPr>
              <w:jc w:val="center"/>
              <w:bidi w:val="1"/>
            </w:pPr>
            <w:r>
              <w:rPr>
                <w:rFonts w:ascii="DejaVu Sans" w:hAnsi="DejaVu Sans" w:cs="DejaVu Sans"/>
                <w:b w:val="0"/>
                <w:color w:val="171A1F"/>
                <w:sz w:val="15"/>
              </w:rPr>
              <w:t>انتظام جيد؛ تفاعل محدود نسبة للجمهور</w:t>
            </w:r>
          </w:p>
        </w:tc>
      </w:tr>
      <w:tr>
        <w:tc>
          <w:tcPr>
            <w:tcW w:type="dxa" w:w="1900"/>
            <w:vAlign w:val="center"/>
          </w:tcPr>
          <w:p>
            <w:pPr>
              <w:jc w:val="right"/>
              <w:bidi w:val="1"/>
            </w:pPr>
            <w:r>
              <w:rPr>
                <w:rFonts w:ascii="DejaVu Sans" w:hAnsi="DejaVu Sans" w:cs="DejaVu Sans"/>
                <w:b w:val="0"/>
                <w:color w:val="171A1F"/>
                <w:sz w:val="15"/>
              </w:rPr>
              <w:t>SuhailPartners</w:t>
            </w:r>
          </w:p>
        </w:tc>
        <w:tc>
          <w:tcPr>
            <w:tcW w:type="dxa" w:w="4250"/>
            <w:vAlign w:val="center"/>
          </w:tcPr>
          <w:p>
            <w:pPr>
              <w:jc w:val="center"/>
              <w:bidi w:val="1"/>
            </w:pPr>
            <w:r>
              <w:rPr>
                <w:rFonts w:ascii="DejaVu Sans" w:hAnsi="DejaVu Sans" w:cs="DejaVu Sans"/>
                <w:b w:val="0"/>
                <w:color w:val="171A1F"/>
                <w:sz w:val="15"/>
              </w:rPr>
              <w:t>استقلالية + أرقام صفقات + خبرات تنظيمية</w:t>
            </w:r>
          </w:p>
        </w:tc>
        <w:tc>
          <w:tcPr>
            <w:tcW w:type="dxa" w:w="2970"/>
            <w:vAlign w:val="center"/>
          </w:tcPr>
          <w:p>
            <w:pPr>
              <w:jc w:val="center"/>
              <w:bidi w:val="1"/>
            </w:pPr>
            <w:r>
              <w:rPr>
                <w:rFonts w:ascii="DejaVu Sans" w:hAnsi="DejaVu Sans" w:cs="DejaVu Sans"/>
                <w:b w:val="0"/>
                <w:color w:val="171A1F"/>
                <w:sz w:val="15"/>
              </w:rPr>
              <w:t>تموضع قوي قياسًا بعمر وحجم المكتب</w:t>
            </w:r>
          </w:p>
        </w:tc>
      </w:tr>
      <w:tr>
        <w:tc>
          <w:tcPr>
            <w:tcW w:type="dxa" w:w="1900"/>
            <w:vAlign w:val="center"/>
            <w:shd w:fill="F7F8FA"/>
          </w:tcPr>
          <w:p>
            <w:pPr>
              <w:jc w:val="right"/>
              <w:bidi w:val="1"/>
            </w:pPr>
            <w:r>
              <w:rPr>
                <w:rFonts w:ascii="DejaVu Sans" w:hAnsi="DejaVu Sans" w:cs="DejaVu Sans"/>
                <w:b w:val="0"/>
                <w:color w:val="171A1F"/>
                <w:sz w:val="15"/>
              </w:rPr>
              <w:t>قيصر متولي</w:t>
            </w:r>
          </w:p>
        </w:tc>
        <w:tc>
          <w:tcPr>
            <w:tcW w:type="dxa" w:w="4250"/>
            <w:vAlign w:val="center"/>
            <w:shd w:fill="F7F8FA"/>
          </w:tcPr>
          <w:p>
            <w:pPr>
              <w:jc w:val="center"/>
              <w:bidi w:val="1"/>
            </w:pPr>
            <w:r>
              <w:rPr>
                <w:rFonts w:ascii="DejaVu Sans" w:hAnsi="DejaVu Sans" w:cs="DejaVu Sans"/>
                <w:b w:val="0"/>
                <w:color w:val="171A1F"/>
                <w:sz w:val="15"/>
              </w:rPr>
              <w:t>تفسير السوق السعودي للمستثمر الأجنبي</w:t>
            </w:r>
          </w:p>
        </w:tc>
        <w:tc>
          <w:tcPr>
            <w:tcW w:type="dxa" w:w="2970"/>
            <w:vAlign w:val="center"/>
            <w:shd w:fill="F7F8FA"/>
          </w:tcPr>
          <w:p>
            <w:pPr>
              <w:jc w:val="center"/>
              <w:bidi w:val="1"/>
            </w:pPr>
            <w:r>
              <w:rPr>
                <w:rFonts w:ascii="DejaVu Sans" w:hAnsi="DejaVu Sans" w:cs="DejaVu Sans"/>
                <w:b w:val="0"/>
                <w:color w:val="171A1F"/>
                <w:sz w:val="15"/>
              </w:rPr>
              <w:t>زاوية تخصصية قابلة للنمو</w:t>
            </w:r>
          </w:p>
        </w:tc>
      </w:tr>
    </w:tbl>
    <w:p>
      <w:pPr>
        <w:spacing w:after="60"/>
      </w:pPr>
    </w:p>
    <w:p>
      <w:pPr>
        <w:pStyle w:val="Heading2"/>
        <w:jc w:val="right"/>
        <w:bidi w:val="1"/>
      </w:pPr>
      <w:r>
        <w:t>الاستنتاج</w:t>
      </w:r>
    </w:p>
    <w:p>
      <w:pPr>
        <w:spacing w:before="0" w:after="100" w:line="283" w:lineRule="auto"/>
        <w:jc w:val="right"/>
        <w:bidi w:val="1"/>
      </w:pPr>
      <w:r>
        <w:rPr>
          <w:rFonts w:ascii="DejaVu Sans" w:hAnsi="DejaVu Sans" w:cs="DejaVu Sans"/>
          <w:b w:val="0"/>
          <w:color w:val="171A1F"/>
          <w:sz w:val="20"/>
        </w:rPr>
        <w:t>لا يوجد فائز مطلق. الفائز يتغير حسب الهدف: إياد رضا يفوز في الوصول المحلي، الخشيم وAS&amp;H في سلطة السوق المؤسسي، Z&amp;Co. في تحويل المعرفة إلى تفاعل قابل للالتقاط، والتميمي في امتلاك منظومة نشر طويلة الأجل. لمكتب أحمد المدني، النموذج الأنسب هو هجين من Z&amp;Co. + الخشيم + حضور محلي إنساني محدود.</w:t>
      </w:r>
    </w:p>
    <w:p>
      <w:r>
        <w:br w:type="page"/>
      </w:r>
    </w:p>
    <w:p>
      <w:pPr>
        <w:pStyle w:val="Heading1"/>
        <w:jc w:val="right"/>
        <w:bidi w:val="1"/>
      </w:pPr>
      <w:r>
        <w:t>6. ترتيب الوسائل الإعلامية حسب القوة</w:t>
      </w:r>
    </w:p>
    <w:tbl>
      <w:tblPr>
        <w:tblStyle w:val="TableGrid"/>
        <w:tblW w:type="dxa" w:w="8600"/>
        <w:jc w:val="center"/>
        <w:tblLayout w:type="fixed"/>
        <w:tblLook w:firstColumn="1" w:firstRow="1" w:lastColumn="0" w:lastRow="0" w:noHBand="0" w:noVBand="1" w:val="04A0"/>
        <w:tblInd w:w="120" w:type="dxa"/>
      </w:tblPr>
      <w:tblGrid>
        <w:gridCol w:w="1550"/>
        <w:gridCol w:w="900"/>
        <w:gridCol w:w="2450"/>
        <w:gridCol w:w="2800"/>
        <w:gridCol w:w="900"/>
      </w:tblGrid>
      <w:tr>
        <w:trPr>
          <w:tblHeader/>
        </w:trPr>
        <w:tc>
          <w:tcPr>
            <w:tcW w:type="dxa" w:w="155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5"/>
              </w:rPr>
              <w:t>الوسيلة</w:t>
            </w:r>
          </w:p>
        </w:tc>
        <w:tc>
          <w:tcPr>
            <w:tcW w:type="dxa" w:w="90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5"/>
              </w:rPr>
              <w:t>القوة</w:t>
            </w:r>
          </w:p>
        </w:tc>
        <w:tc>
          <w:tcPr>
            <w:tcW w:type="dxa" w:w="245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5"/>
              </w:rPr>
              <w:t>وظيفتها</w:t>
            </w:r>
          </w:p>
        </w:tc>
        <w:tc>
          <w:tcPr>
            <w:tcW w:type="dxa" w:w="280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5"/>
              </w:rPr>
              <w:t>مؤشر النجاح الحقيقي</w:t>
            </w:r>
          </w:p>
        </w:tc>
        <w:tc>
          <w:tcPr>
            <w:tcW w:type="dxa" w:w="90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5"/>
              </w:rPr>
              <w:t>الأولوية</w:t>
            </w:r>
          </w:p>
        </w:tc>
      </w:tr>
      <w:tr>
        <w:tc>
          <w:tcPr>
            <w:tcW w:type="dxa" w:w="1550"/>
            <w:vAlign w:val="center"/>
          </w:tcPr>
          <w:p>
            <w:pPr>
              <w:jc w:val="right"/>
              <w:bidi w:val="1"/>
            </w:pPr>
            <w:r>
              <w:rPr>
                <w:rFonts w:ascii="DejaVu Sans" w:hAnsi="DejaVu Sans" w:cs="DejaVu Sans"/>
                <w:b w:val="0"/>
                <w:color w:val="171A1F"/>
                <w:sz w:val="15"/>
              </w:rPr>
              <w:t>LinkedIn – حسابات المحامين</w:t>
            </w:r>
          </w:p>
        </w:tc>
        <w:tc>
          <w:tcPr>
            <w:tcW w:type="dxa" w:w="900"/>
            <w:vAlign w:val="center"/>
          </w:tcPr>
          <w:p>
            <w:pPr>
              <w:jc w:val="center"/>
              <w:bidi w:val="1"/>
            </w:pPr>
            <w:r>
              <w:rPr>
                <w:rFonts w:ascii="DejaVu Sans" w:hAnsi="DejaVu Sans" w:cs="DejaVu Sans"/>
                <w:b w:val="0"/>
                <w:color w:val="171A1F"/>
                <w:sz w:val="15"/>
              </w:rPr>
              <w:t>عالية جدًا</w:t>
            </w:r>
          </w:p>
        </w:tc>
        <w:tc>
          <w:tcPr>
            <w:tcW w:type="dxa" w:w="2450"/>
            <w:vAlign w:val="center"/>
          </w:tcPr>
          <w:p>
            <w:pPr>
              <w:jc w:val="center"/>
              <w:bidi w:val="1"/>
            </w:pPr>
            <w:r>
              <w:rPr>
                <w:rFonts w:ascii="DejaVu Sans" w:hAnsi="DejaVu Sans" w:cs="DejaVu Sans"/>
                <w:b w:val="0"/>
                <w:color w:val="171A1F"/>
                <w:sz w:val="15"/>
              </w:rPr>
              <w:t>الثقة والوصول عبر العلاقات الشخصية</w:t>
            </w:r>
          </w:p>
        </w:tc>
        <w:tc>
          <w:tcPr>
            <w:tcW w:type="dxa" w:w="2800"/>
            <w:vAlign w:val="center"/>
          </w:tcPr>
          <w:p>
            <w:pPr>
              <w:jc w:val="center"/>
              <w:bidi w:val="1"/>
            </w:pPr>
            <w:r>
              <w:rPr>
                <w:rFonts w:ascii="DejaVu Sans" w:hAnsi="DejaVu Sans" w:cs="DejaVu Sans"/>
                <w:b w:val="0"/>
                <w:color w:val="171A1F"/>
                <w:sz w:val="15"/>
              </w:rPr>
              <w:t>رسائل نوعية/اجتماعات/حفظ ومشاركة</w:t>
            </w:r>
          </w:p>
        </w:tc>
        <w:tc>
          <w:tcPr>
            <w:tcW w:type="dxa" w:w="900"/>
            <w:vAlign w:val="center"/>
          </w:tcPr>
          <w:p>
            <w:pPr>
              <w:jc w:val="center"/>
              <w:bidi w:val="1"/>
            </w:pPr>
            <w:r>
              <w:rPr>
                <w:rFonts w:ascii="DejaVu Sans" w:hAnsi="DejaVu Sans" w:cs="DejaVu Sans"/>
                <w:b w:val="0"/>
                <w:color w:val="171A1F"/>
                <w:sz w:val="15"/>
              </w:rPr>
              <w:t>1</w:t>
            </w:r>
          </w:p>
        </w:tc>
      </w:tr>
      <w:tr>
        <w:tc>
          <w:tcPr>
            <w:tcW w:type="dxa" w:w="1550"/>
            <w:vAlign w:val="center"/>
            <w:shd w:fill="F7F8FA"/>
          </w:tcPr>
          <w:p>
            <w:pPr>
              <w:jc w:val="right"/>
              <w:bidi w:val="1"/>
            </w:pPr>
            <w:r>
              <w:rPr>
                <w:rFonts w:ascii="DejaVu Sans" w:hAnsi="DejaVu Sans" w:cs="DejaVu Sans"/>
                <w:b w:val="0"/>
                <w:color w:val="171A1F"/>
                <w:sz w:val="15"/>
              </w:rPr>
              <w:t>LinkedIn – صفحة المكتب</w:t>
            </w:r>
          </w:p>
        </w:tc>
        <w:tc>
          <w:tcPr>
            <w:tcW w:type="dxa" w:w="900"/>
            <w:vAlign w:val="center"/>
            <w:shd w:fill="F7F8FA"/>
          </w:tcPr>
          <w:p>
            <w:pPr>
              <w:jc w:val="center"/>
              <w:bidi w:val="1"/>
            </w:pPr>
            <w:r>
              <w:rPr>
                <w:rFonts w:ascii="DejaVu Sans" w:hAnsi="DejaVu Sans" w:cs="DejaVu Sans"/>
                <w:b w:val="0"/>
                <w:color w:val="171A1F"/>
                <w:sz w:val="15"/>
              </w:rPr>
              <w:t>عالية</w:t>
            </w:r>
          </w:p>
        </w:tc>
        <w:tc>
          <w:tcPr>
            <w:tcW w:type="dxa" w:w="2450"/>
            <w:vAlign w:val="center"/>
            <w:shd w:fill="F7F8FA"/>
          </w:tcPr>
          <w:p>
            <w:pPr>
              <w:jc w:val="center"/>
              <w:bidi w:val="1"/>
            </w:pPr>
            <w:r>
              <w:rPr>
                <w:rFonts w:ascii="DejaVu Sans" w:hAnsi="DejaVu Sans" w:cs="DejaVu Sans"/>
                <w:b w:val="0"/>
                <w:color w:val="171A1F"/>
                <w:sz w:val="15"/>
              </w:rPr>
              <w:t>مرجع مؤسسي وإثبات مستمر</w:t>
            </w:r>
          </w:p>
        </w:tc>
        <w:tc>
          <w:tcPr>
            <w:tcW w:type="dxa" w:w="2800"/>
            <w:vAlign w:val="center"/>
            <w:shd w:fill="F7F8FA"/>
          </w:tcPr>
          <w:p>
            <w:pPr>
              <w:jc w:val="center"/>
              <w:bidi w:val="1"/>
            </w:pPr>
            <w:r>
              <w:rPr>
                <w:rFonts w:ascii="DejaVu Sans" w:hAnsi="DejaVu Sans" w:cs="DejaVu Sans"/>
                <w:b w:val="0"/>
                <w:color w:val="171A1F"/>
                <w:sz w:val="15"/>
              </w:rPr>
              <w:t>زيارات الموقع + نمو جمهور مستهدف</w:t>
            </w:r>
          </w:p>
        </w:tc>
        <w:tc>
          <w:tcPr>
            <w:tcW w:type="dxa" w:w="900"/>
            <w:vAlign w:val="center"/>
            <w:shd w:fill="F7F8FA"/>
          </w:tcPr>
          <w:p>
            <w:pPr>
              <w:jc w:val="center"/>
              <w:bidi w:val="1"/>
            </w:pPr>
            <w:r>
              <w:rPr>
                <w:rFonts w:ascii="DejaVu Sans" w:hAnsi="DejaVu Sans" w:cs="DejaVu Sans"/>
                <w:b w:val="0"/>
                <w:color w:val="171A1F"/>
                <w:sz w:val="15"/>
              </w:rPr>
              <w:t>2</w:t>
            </w:r>
          </w:p>
        </w:tc>
      </w:tr>
      <w:tr>
        <w:tc>
          <w:tcPr>
            <w:tcW w:type="dxa" w:w="1550"/>
            <w:vAlign w:val="center"/>
          </w:tcPr>
          <w:p>
            <w:pPr>
              <w:jc w:val="right"/>
              <w:bidi w:val="1"/>
            </w:pPr>
            <w:r>
              <w:rPr>
                <w:rFonts w:ascii="DejaVu Sans" w:hAnsi="DejaVu Sans" w:cs="DejaVu Sans"/>
                <w:b w:val="0"/>
                <w:color w:val="171A1F"/>
                <w:sz w:val="15"/>
              </w:rPr>
              <w:t>البريد/النشرة</w:t>
            </w:r>
          </w:p>
        </w:tc>
        <w:tc>
          <w:tcPr>
            <w:tcW w:type="dxa" w:w="900"/>
            <w:vAlign w:val="center"/>
          </w:tcPr>
          <w:p>
            <w:pPr>
              <w:jc w:val="center"/>
              <w:bidi w:val="1"/>
            </w:pPr>
            <w:r>
              <w:rPr>
                <w:rFonts w:ascii="DejaVu Sans" w:hAnsi="DejaVu Sans" w:cs="DejaVu Sans"/>
                <w:b w:val="0"/>
                <w:color w:val="171A1F"/>
                <w:sz w:val="15"/>
              </w:rPr>
              <w:t>عالية جدًا</w:t>
            </w:r>
          </w:p>
        </w:tc>
        <w:tc>
          <w:tcPr>
            <w:tcW w:type="dxa" w:w="2450"/>
            <w:vAlign w:val="center"/>
          </w:tcPr>
          <w:p>
            <w:pPr>
              <w:jc w:val="center"/>
              <w:bidi w:val="1"/>
            </w:pPr>
            <w:r>
              <w:rPr>
                <w:rFonts w:ascii="DejaVu Sans" w:hAnsi="DejaVu Sans" w:cs="DejaVu Sans"/>
                <w:b w:val="0"/>
                <w:color w:val="171A1F"/>
                <w:sz w:val="15"/>
              </w:rPr>
              <w:t>امتلاك الجمهور وإعادته للمكتب</w:t>
            </w:r>
          </w:p>
        </w:tc>
        <w:tc>
          <w:tcPr>
            <w:tcW w:type="dxa" w:w="2800"/>
            <w:vAlign w:val="center"/>
          </w:tcPr>
          <w:p>
            <w:pPr>
              <w:jc w:val="center"/>
              <w:bidi w:val="1"/>
            </w:pPr>
            <w:r>
              <w:rPr>
                <w:rFonts w:ascii="DejaVu Sans" w:hAnsi="DejaVu Sans" w:cs="DejaVu Sans"/>
                <w:b w:val="0"/>
                <w:color w:val="171A1F"/>
                <w:sz w:val="15"/>
              </w:rPr>
              <w:t>فتح + نقر + رد + إحالة لاجتماع</w:t>
            </w:r>
          </w:p>
        </w:tc>
        <w:tc>
          <w:tcPr>
            <w:tcW w:type="dxa" w:w="900"/>
            <w:vAlign w:val="center"/>
          </w:tcPr>
          <w:p>
            <w:pPr>
              <w:jc w:val="center"/>
              <w:bidi w:val="1"/>
            </w:pPr>
            <w:r>
              <w:rPr>
                <w:rFonts w:ascii="DejaVu Sans" w:hAnsi="DejaVu Sans" w:cs="DejaVu Sans"/>
                <w:b w:val="0"/>
                <w:color w:val="171A1F"/>
                <w:sz w:val="15"/>
              </w:rPr>
              <w:t>3</w:t>
            </w:r>
          </w:p>
        </w:tc>
      </w:tr>
      <w:tr>
        <w:tc>
          <w:tcPr>
            <w:tcW w:type="dxa" w:w="1550"/>
            <w:vAlign w:val="center"/>
            <w:shd w:fill="F7F8FA"/>
          </w:tcPr>
          <w:p>
            <w:pPr>
              <w:jc w:val="right"/>
              <w:bidi w:val="1"/>
            </w:pPr>
            <w:r>
              <w:rPr>
                <w:rFonts w:ascii="DejaVu Sans" w:hAnsi="DejaVu Sans" w:cs="DejaVu Sans"/>
                <w:b w:val="0"/>
                <w:color w:val="171A1F"/>
                <w:sz w:val="15"/>
              </w:rPr>
              <w:t>ندوات مغلقة/إحاطات</w:t>
            </w:r>
          </w:p>
        </w:tc>
        <w:tc>
          <w:tcPr>
            <w:tcW w:type="dxa" w:w="900"/>
            <w:vAlign w:val="center"/>
            <w:shd w:fill="F7F8FA"/>
          </w:tcPr>
          <w:p>
            <w:pPr>
              <w:jc w:val="center"/>
              <w:bidi w:val="1"/>
            </w:pPr>
            <w:r>
              <w:rPr>
                <w:rFonts w:ascii="DejaVu Sans" w:hAnsi="DejaVu Sans" w:cs="DejaVu Sans"/>
                <w:b w:val="0"/>
                <w:color w:val="171A1F"/>
                <w:sz w:val="15"/>
              </w:rPr>
              <w:t>عالية جدًا</w:t>
            </w:r>
          </w:p>
        </w:tc>
        <w:tc>
          <w:tcPr>
            <w:tcW w:type="dxa" w:w="2450"/>
            <w:vAlign w:val="center"/>
            <w:shd w:fill="F7F8FA"/>
          </w:tcPr>
          <w:p>
            <w:pPr>
              <w:jc w:val="center"/>
              <w:bidi w:val="1"/>
            </w:pPr>
            <w:r>
              <w:rPr>
                <w:rFonts w:ascii="DejaVu Sans" w:hAnsi="DejaVu Sans" w:cs="DejaVu Sans"/>
                <w:b w:val="0"/>
                <w:color w:val="171A1F"/>
                <w:sz w:val="15"/>
              </w:rPr>
              <w:t>تحويل المعرفة إلى علاقة</w:t>
            </w:r>
          </w:p>
        </w:tc>
        <w:tc>
          <w:tcPr>
            <w:tcW w:type="dxa" w:w="2800"/>
            <w:vAlign w:val="center"/>
            <w:shd w:fill="F7F8FA"/>
          </w:tcPr>
          <w:p>
            <w:pPr>
              <w:jc w:val="center"/>
              <w:bidi w:val="1"/>
            </w:pPr>
            <w:r>
              <w:rPr>
                <w:rFonts w:ascii="DejaVu Sans" w:hAnsi="DejaVu Sans" w:cs="DejaVu Sans"/>
                <w:b w:val="0"/>
                <w:color w:val="171A1F"/>
                <w:sz w:val="15"/>
              </w:rPr>
              <w:t>نسبة الحضور وصناع القرار والمتابعة</w:t>
            </w:r>
          </w:p>
        </w:tc>
        <w:tc>
          <w:tcPr>
            <w:tcW w:type="dxa" w:w="900"/>
            <w:vAlign w:val="center"/>
            <w:shd w:fill="F7F8FA"/>
          </w:tcPr>
          <w:p>
            <w:pPr>
              <w:jc w:val="center"/>
              <w:bidi w:val="1"/>
            </w:pPr>
            <w:r>
              <w:rPr>
                <w:rFonts w:ascii="DejaVu Sans" w:hAnsi="DejaVu Sans" w:cs="DejaVu Sans"/>
                <w:b w:val="0"/>
                <w:color w:val="171A1F"/>
                <w:sz w:val="15"/>
              </w:rPr>
              <w:t>4</w:t>
            </w:r>
          </w:p>
        </w:tc>
      </w:tr>
      <w:tr>
        <w:tc>
          <w:tcPr>
            <w:tcW w:type="dxa" w:w="1550"/>
            <w:vAlign w:val="center"/>
          </w:tcPr>
          <w:p>
            <w:pPr>
              <w:jc w:val="right"/>
              <w:bidi w:val="1"/>
            </w:pPr>
            <w:r>
              <w:rPr>
                <w:rFonts w:ascii="DejaVu Sans" w:hAnsi="DejaVu Sans" w:cs="DejaVu Sans"/>
                <w:b w:val="0"/>
                <w:color w:val="171A1F"/>
                <w:sz w:val="15"/>
              </w:rPr>
              <w:t>الموقع وSEO</w:t>
            </w:r>
          </w:p>
        </w:tc>
        <w:tc>
          <w:tcPr>
            <w:tcW w:type="dxa" w:w="900"/>
            <w:vAlign w:val="center"/>
          </w:tcPr>
          <w:p>
            <w:pPr>
              <w:jc w:val="center"/>
              <w:bidi w:val="1"/>
            </w:pPr>
            <w:r>
              <w:rPr>
                <w:rFonts w:ascii="DejaVu Sans" w:hAnsi="DejaVu Sans" w:cs="DejaVu Sans"/>
                <w:b w:val="0"/>
                <w:color w:val="171A1F"/>
                <w:sz w:val="15"/>
              </w:rPr>
              <w:t>عالية طويلة الأجل</w:t>
            </w:r>
          </w:p>
        </w:tc>
        <w:tc>
          <w:tcPr>
            <w:tcW w:type="dxa" w:w="2450"/>
            <w:vAlign w:val="center"/>
          </w:tcPr>
          <w:p>
            <w:pPr>
              <w:jc w:val="center"/>
              <w:bidi w:val="1"/>
            </w:pPr>
            <w:r>
              <w:rPr>
                <w:rFonts w:ascii="DejaVu Sans" w:hAnsi="DejaVu Sans" w:cs="DejaVu Sans"/>
                <w:b w:val="0"/>
                <w:color w:val="171A1F"/>
                <w:sz w:val="15"/>
              </w:rPr>
              <w:t>التقاط البحث عند وجود نية</w:t>
            </w:r>
          </w:p>
        </w:tc>
        <w:tc>
          <w:tcPr>
            <w:tcW w:type="dxa" w:w="2800"/>
            <w:vAlign w:val="center"/>
          </w:tcPr>
          <w:p>
            <w:pPr>
              <w:jc w:val="center"/>
              <w:bidi w:val="1"/>
            </w:pPr>
            <w:r>
              <w:rPr>
                <w:rFonts w:ascii="DejaVu Sans" w:hAnsi="DejaVu Sans" w:cs="DejaVu Sans"/>
                <w:b w:val="0"/>
                <w:color w:val="171A1F"/>
                <w:sz w:val="15"/>
              </w:rPr>
              <w:t>طلب استشارة/اتصال عضوي/ترتيب كلمات</w:t>
            </w:r>
          </w:p>
        </w:tc>
        <w:tc>
          <w:tcPr>
            <w:tcW w:type="dxa" w:w="900"/>
            <w:vAlign w:val="center"/>
          </w:tcPr>
          <w:p>
            <w:pPr>
              <w:jc w:val="center"/>
              <w:bidi w:val="1"/>
            </w:pPr>
            <w:r>
              <w:rPr>
                <w:rFonts w:ascii="DejaVu Sans" w:hAnsi="DejaVu Sans" w:cs="DejaVu Sans"/>
                <w:b w:val="0"/>
                <w:color w:val="171A1F"/>
                <w:sz w:val="15"/>
              </w:rPr>
              <w:t>5</w:t>
            </w:r>
          </w:p>
        </w:tc>
      </w:tr>
      <w:tr>
        <w:tc>
          <w:tcPr>
            <w:tcW w:type="dxa" w:w="1550"/>
            <w:vAlign w:val="center"/>
            <w:shd w:fill="F7F8FA"/>
          </w:tcPr>
          <w:p>
            <w:pPr>
              <w:jc w:val="right"/>
              <w:bidi w:val="1"/>
            </w:pPr>
            <w:r>
              <w:rPr>
                <w:rFonts w:ascii="DejaVu Sans" w:hAnsi="DejaVu Sans" w:cs="DejaVu Sans"/>
                <w:b w:val="0"/>
                <w:color w:val="171A1F"/>
                <w:sz w:val="15"/>
              </w:rPr>
              <w:t>الصحافة المتخصصة</w:t>
            </w:r>
          </w:p>
        </w:tc>
        <w:tc>
          <w:tcPr>
            <w:tcW w:type="dxa" w:w="900"/>
            <w:vAlign w:val="center"/>
            <w:shd w:fill="F7F8FA"/>
          </w:tcPr>
          <w:p>
            <w:pPr>
              <w:jc w:val="center"/>
              <w:bidi w:val="1"/>
            </w:pPr>
            <w:r>
              <w:rPr>
                <w:rFonts w:ascii="DejaVu Sans" w:hAnsi="DejaVu Sans" w:cs="DejaVu Sans"/>
                <w:b w:val="0"/>
                <w:color w:val="171A1F"/>
                <w:sz w:val="15"/>
              </w:rPr>
              <w:t>عالية انتقائيًا</w:t>
            </w:r>
          </w:p>
        </w:tc>
        <w:tc>
          <w:tcPr>
            <w:tcW w:type="dxa" w:w="2450"/>
            <w:vAlign w:val="center"/>
            <w:shd w:fill="F7F8FA"/>
          </w:tcPr>
          <w:p>
            <w:pPr>
              <w:jc w:val="center"/>
              <w:bidi w:val="1"/>
            </w:pPr>
            <w:r>
              <w:rPr>
                <w:rFonts w:ascii="DejaVu Sans" w:hAnsi="DejaVu Sans" w:cs="DejaVu Sans"/>
                <w:b w:val="0"/>
                <w:color w:val="171A1F"/>
                <w:sz w:val="15"/>
              </w:rPr>
              <w:t>طرف ثالث يثبت الخبرة</w:t>
            </w:r>
          </w:p>
        </w:tc>
        <w:tc>
          <w:tcPr>
            <w:tcW w:type="dxa" w:w="2800"/>
            <w:vAlign w:val="center"/>
            <w:shd w:fill="F7F8FA"/>
          </w:tcPr>
          <w:p>
            <w:pPr>
              <w:jc w:val="center"/>
              <w:bidi w:val="1"/>
            </w:pPr>
            <w:r>
              <w:rPr>
                <w:rFonts w:ascii="DejaVu Sans" w:hAnsi="DejaVu Sans" w:cs="DejaVu Sans"/>
                <w:b w:val="0"/>
                <w:color w:val="171A1F"/>
                <w:sz w:val="15"/>
              </w:rPr>
              <w:t>اقتباس خبير + روابط + دعوات لاحقة</w:t>
            </w:r>
          </w:p>
        </w:tc>
        <w:tc>
          <w:tcPr>
            <w:tcW w:type="dxa" w:w="900"/>
            <w:vAlign w:val="center"/>
            <w:shd w:fill="F7F8FA"/>
          </w:tcPr>
          <w:p>
            <w:pPr>
              <w:jc w:val="center"/>
              <w:bidi w:val="1"/>
            </w:pPr>
            <w:r>
              <w:rPr>
                <w:rFonts w:ascii="DejaVu Sans" w:hAnsi="DejaVu Sans" w:cs="DejaVu Sans"/>
                <w:b w:val="0"/>
                <w:color w:val="171A1F"/>
                <w:sz w:val="15"/>
              </w:rPr>
              <w:t>6</w:t>
            </w:r>
          </w:p>
        </w:tc>
      </w:tr>
      <w:tr>
        <w:tc>
          <w:tcPr>
            <w:tcW w:type="dxa" w:w="1550"/>
            <w:vAlign w:val="center"/>
          </w:tcPr>
          <w:p>
            <w:pPr>
              <w:jc w:val="right"/>
              <w:bidi w:val="1"/>
            </w:pPr>
            <w:r>
              <w:rPr>
                <w:rFonts w:ascii="DejaVu Sans" w:hAnsi="DejaVu Sans" w:cs="DejaVu Sans"/>
                <w:b w:val="0"/>
                <w:color w:val="171A1F"/>
                <w:sz w:val="15"/>
              </w:rPr>
              <w:t>X</w:t>
            </w:r>
          </w:p>
        </w:tc>
        <w:tc>
          <w:tcPr>
            <w:tcW w:type="dxa" w:w="900"/>
            <w:vAlign w:val="center"/>
          </w:tcPr>
          <w:p>
            <w:pPr>
              <w:jc w:val="center"/>
              <w:bidi w:val="1"/>
            </w:pPr>
            <w:r>
              <w:rPr>
                <w:rFonts w:ascii="DejaVu Sans" w:hAnsi="DejaVu Sans" w:cs="DejaVu Sans"/>
                <w:b w:val="0"/>
                <w:color w:val="171A1F"/>
                <w:sz w:val="15"/>
              </w:rPr>
              <w:t>متوسطة</w:t>
            </w:r>
          </w:p>
        </w:tc>
        <w:tc>
          <w:tcPr>
            <w:tcW w:type="dxa" w:w="2450"/>
            <w:vAlign w:val="center"/>
          </w:tcPr>
          <w:p>
            <w:pPr>
              <w:jc w:val="center"/>
              <w:bidi w:val="1"/>
            </w:pPr>
            <w:r>
              <w:rPr>
                <w:rFonts w:ascii="DejaVu Sans" w:hAnsi="DejaVu Sans" w:cs="DejaVu Sans"/>
                <w:b w:val="0"/>
                <w:color w:val="171A1F"/>
                <w:sz w:val="15"/>
              </w:rPr>
              <w:t>سرعة التعليق على الخبر القانوني</w:t>
            </w:r>
          </w:p>
        </w:tc>
        <w:tc>
          <w:tcPr>
            <w:tcW w:type="dxa" w:w="2800"/>
            <w:vAlign w:val="center"/>
          </w:tcPr>
          <w:p>
            <w:pPr>
              <w:jc w:val="center"/>
              <w:bidi w:val="1"/>
            </w:pPr>
            <w:r>
              <w:rPr>
                <w:rFonts w:ascii="DejaVu Sans" w:hAnsi="DejaVu Sans" w:cs="DejaVu Sans"/>
                <w:b w:val="0"/>
                <w:color w:val="171A1F"/>
                <w:sz w:val="15"/>
              </w:rPr>
              <w:t>ظهور لدى صحفيين/جهات/إعادة نشر</w:t>
            </w:r>
          </w:p>
        </w:tc>
        <w:tc>
          <w:tcPr>
            <w:tcW w:type="dxa" w:w="900"/>
            <w:vAlign w:val="center"/>
          </w:tcPr>
          <w:p>
            <w:pPr>
              <w:jc w:val="center"/>
              <w:bidi w:val="1"/>
            </w:pPr>
            <w:r>
              <w:rPr>
                <w:rFonts w:ascii="DejaVu Sans" w:hAnsi="DejaVu Sans" w:cs="DejaVu Sans"/>
                <w:b w:val="0"/>
                <w:color w:val="171A1F"/>
                <w:sz w:val="15"/>
              </w:rPr>
              <w:t>7</w:t>
            </w:r>
          </w:p>
        </w:tc>
      </w:tr>
      <w:tr>
        <w:tc>
          <w:tcPr>
            <w:tcW w:type="dxa" w:w="1550"/>
            <w:vAlign w:val="center"/>
            <w:shd w:fill="F7F8FA"/>
          </w:tcPr>
          <w:p>
            <w:pPr>
              <w:jc w:val="right"/>
              <w:bidi w:val="1"/>
            </w:pPr>
            <w:r>
              <w:rPr>
                <w:rFonts w:ascii="DejaVu Sans" w:hAnsi="DejaVu Sans" w:cs="DejaVu Sans"/>
                <w:b w:val="0"/>
                <w:color w:val="171A1F"/>
                <w:sz w:val="15"/>
              </w:rPr>
              <w:t>Instagram</w:t>
            </w:r>
          </w:p>
        </w:tc>
        <w:tc>
          <w:tcPr>
            <w:tcW w:type="dxa" w:w="900"/>
            <w:vAlign w:val="center"/>
            <w:shd w:fill="F7F8FA"/>
          </w:tcPr>
          <w:p>
            <w:pPr>
              <w:jc w:val="center"/>
              <w:bidi w:val="1"/>
            </w:pPr>
            <w:r>
              <w:rPr>
                <w:rFonts w:ascii="DejaVu Sans" w:hAnsi="DejaVu Sans" w:cs="DejaVu Sans"/>
                <w:b w:val="0"/>
                <w:color w:val="171A1F"/>
                <w:sz w:val="15"/>
              </w:rPr>
              <w:t>متوسطة</w:t>
            </w:r>
          </w:p>
        </w:tc>
        <w:tc>
          <w:tcPr>
            <w:tcW w:type="dxa" w:w="2450"/>
            <w:vAlign w:val="center"/>
            <w:shd w:fill="F7F8FA"/>
          </w:tcPr>
          <w:p>
            <w:pPr>
              <w:jc w:val="center"/>
              <w:bidi w:val="1"/>
            </w:pPr>
            <w:r>
              <w:rPr>
                <w:rFonts w:ascii="DejaVu Sans" w:hAnsi="DejaVu Sans" w:cs="DejaVu Sans"/>
                <w:b w:val="0"/>
                <w:color w:val="171A1F"/>
                <w:sz w:val="15"/>
              </w:rPr>
              <w:t>الهوية والثقافة والوعي المحلي</w:t>
            </w:r>
          </w:p>
        </w:tc>
        <w:tc>
          <w:tcPr>
            <w:tcW w:type="dxa" w:w="2800"/>
            <w:vAlign w:val="center"/>
            <w:shd w:fill="F7F8FA"/>
          </w:tcPr>
          <w:p>
            <w:pPr>
              <w:jc w:val="center"/>
              <w:bidi w:val="1"/>
            </w:pPr>
            <w:r>
              <w:rPr>
                <w:rFonts w:ascii="DejaVu Sans" w:hAnsi="DejaVu Sans" w:cs="DejaVu Sans"/>
                <w:b w:val="0"/>
                <w:color w:val="171A1F"/>
                <w:sz w:val="15"/>
              </w:rPr>
              <w:t>مشاهدات كاملة وزيارات الملف</w:t>
            </w:r>
          </w:p>
        </w:tc>
        <w:tc>
          <w:tcPr>
            <w:tcW w:type="dxa" w:w="900"/>
            <w:vAlign w:val="center"/>
            <w:shd w:fill="F7F8FA"/>
          </w:tcPr>
          <w:p>
            <w:pPr>
              <w:jc w:val="center"/>
              <w:bidi w:val="1"/>
            </w:pPr>
            <w:r>
              <w:rPr>
                <w:rFonts w:ascii="DejaVu Sans" w:hAnsi="DejaVu Sans" w:cs="DejaVu Sans"/>
                <w:b w:val="0"/>
                <w:color w:val="171A1F"/>
                <w:sz w:val="15"/>
              </w:rPr>
              <w:t>8</w:t>
            </w:r>
          </w:p>
        </w:tc>
      </w:tr>
      <w:tr>
        <w:tc>
          <w:tcPr>
            <w:tcW w:type="dxa" w:w="1550"/>
            <w:vAlign w:val="center"/>
          </w:tcPr>
          <w:p>
            <w:pPr>
              <w:jc w:val="right"/>
              <w:bidi w:val="1"/>
            </w:pPr>
            <w:r>
              <w:rPr>
                <w:rFonts w:ascii="DejaVu Sans" w:hAnsi="DejaVu Sans" w:cs="DejaVu Sans"/>
                <w:b w:val="0"/>
                <w:color w:val="171A1F"/>
                <w:sz w:val="15"/>
              </w:rPr>
              <w:t>صحافة عامة مدفوعة</w:t>
            </w:r>
          </w:p>
        </w:tc>
        <w:tc>
          <w:tcPr>
            <w:tcW w:type="dxa" w:w="900"/>
            <w:vAlign w:val="center"/>
          </w:tcPr>
          <w:p>
            <w:pPr>
              <w:jc w:val="center"/>
              <w:bidi w:val="1"/>
            </w:pPr>
            <w:r>
              <w:rPr>
                <w:rFonts w:ascii="DejaVu Sans" w:hAnsi="DejaVu Sans" w:cs="DejaVu Sans"/>
                <w:b w:val="0"/>
                <w:color w:val="171A1F"/>
                <w:sz w:val="15"/>
              </w:rPr>
              <w:t>منخفضة–متوسطة</w:t>
            </w:r>
          </w:p>
        </w:tc>
        <w:tc>
          <w:tcPr>
            <w:tcW w:type="dxa" w:w="2450"/>
            <w:vAlign w:val="center"/>
          </w:tcPr>
          <w:p>
            <w:pPr>
              <w:jc w:val="center"/>
              <w:bidi w:val="1"/>
            </w:pPr>
            <w:r>
              <w:rPr>
                <w:rFonts w:ascii="DejaVu Sans" w:hAnsi="DejaVu Sans" w:cs="DejaVu Sans"/>
                <w:b w:val="0"/>
                <w:color w:val="171A1F"/>
                <w:sz w:val="15"/>
              </w:rPr>
              <w:t>وعي واسع قصير</w:t>
            </w:r>
          </w:p>
        </w:tc>
        <w:tc>
          <w:tcPr>
            <w:tcW w:type="dxa" w:w="2800"/>
            <w:vAlign w:val="center"/>
          </w:tcPr>
          <w:p>
            <w:pPr>
              <w:jc w:val="center"/>
              <w:bidi w:val="1"/>
            </w:pPr>
            <w:r>
              <w:rPr>
                <w:rFonts w:ascii="DejaVu Sans" w:hAnsi="DejaVu Sans" w:cs="DejaVu Sans"/>
                <w:b w:val="0"/>
                <w:color w:val="171A1F"/>
                <w:sz w:val="15"/>
              </w:rPr>
              <w:t>رفع البحث عن الاسم لا عدد المشاهدات</w:t>
            </w:r>
          </w:p>
        </w:tc>
        <w:tc>
          <w:tcPr>
            <w:tcW w:type="dxa" w:w="900"/>
            <w:vAlign w:val="center"/>
          </w:tcPr>
          <w:p>
            <w:pPr>
              <w:jc w:val="center"/>
              <w:bidi w:val="1"/>
            </w:pPr>
            <w:r>
              <w:rPr>
                <w:rFonts w:ascii="DejaVu Sans" w:hAnsi="DejaVu Sans" w:cs="DejaVu Sans"/>
                <w:b w:val="0"/>
                <w:color w:val="171A1F"/>
                <w:sz w:val="15"/>
              </w:rPr>
              <w:t>9</w:t>
            </w:r>
          </w:p>
        </w:tc>
      </w:tr>
      <w:tr>
        <w:tc>
          <w:tcPr>
            <w:tcW w:type="dxa" w:w="1550"/>
            <w:vAlign w:val="center"/>
            <w:shd w:fill="F7F8FA"/>
          </w:tcPr>
          <w:p>
            <w:pPr>
              <w:jc w:val="right"/>
              <w:bidi w:val="1"/>
            </w:pPr>
            <w:r>
              <w:rPr>
                <w:rFonts w:ascii="DejaVu Sans" w:hAnsi="DejaVu Sans" w:cs="DejaVu Sans"/>
                <w:b w:val="0"/>
                <w:color w:val="171A1F"/>
                <w:sz w:val="15"/>
              </w:rPr>
              <w:t>TikTok/Snapchat</w:t>
            </w:r>
          </w:p>
        </w:tc>
        <w:tc>
          <w:tcPr>
            <w:tcW w:type="dxa" w:w="900"/>
            <w:vAlign w:val="center"/>
            <w:shd w:fill="F7F8FA"/>
          </w:tcPr>
          <w:p>
            <w:pPr>
              <w:jc w:val="center"/>
              <w:bidi w:val="1"/>
            </w:pPr>
            <w:r>
              <w:rPr>
                <w:rFonts w:ascii="DejaVu Sans" w:hAnsi="DejaVu Sans" w:cs="DejaVu Sans"/>
                <w:b w:val="0"/>
                <w:color w:val="171A1F"/>
                <w:sz w:val="15"/>
              </w:rPr>
              <w:t>انتقائية</w:t>
            </w:r>
          </w:p>
        </w:tc>
        <w:tc>
          <w:tcPr>
            <w:tcW w:type="dxa" w:w="2450"/>
            <w:vAlign w:val="center"/>
            <w:shd w:fill="F7F8FA"/>
          </w:tcPr>
          <w:p>
            <w:pPr>
              <w:jc w:val="center"/>
              <w:bidi w:val="1"/>
            </w:pPr>
            <w:r>
              <w:rPr>
                <w:rFonts w:ascii="DejaVu Sans" w:hAnsi="DejaVu Sans" w:cs="DejaVu Sans"/>
                <w:b w:val="0"/>
                <w:color w:val="171A1F"/>
                <w:sz w:val="15"/>
              </w:rPr>
              <w:t>توعية أفراد/توظيف</w:t>
            </w:r>
          </w:p>
        </w:tc>
        <w:tc>
          <w:tcPr>
            <w:tcW w:type="dxa" w:w="2800"/>
            <w:vAlign w:val="center"/>
            <w:shd w:fill="F7F8FA"/>
          </w:tcPr>
          <w:p>
            <w:pPr>
              <w:jc w:val="center"/>
              <w:bidi w:val="1"/>
            </w:pPr>
            <w:r>
              <w:rPr>
                <w:rFonts w:ascii="DejaVu Sans" w:hAnsi="DejaVu Sans" w:cs="DejaVu Sans"/>
                <w:b w:val="0"/>
                <w:color w:val="171A1F"/>
                <w:sz w:val="15"/>
              </w:rPr>
              <w:t>تكلفة عميل مؤهل لا المشاهدات</w:t>
            </w:r>
          </w:p>
        </w:tc>
        <w:tc>
          <w:tcPr>
            <w:tcW w:type="dxa" w:w="900"/>
            <w:vAlign w:val="center"/>
            <w:shd w:fill="F7F8FA"/>
          </w:tcPr>
          <w:p>
            <w:pPr>
              <w:jc w:val="center"/>
              <w:bidi w:val="1"/>
            </w:pPr>
            <w:r>
              <w:rPr>
                <w:rFonts w:ascii="DejaVu Sans" w:hAnsi="DejaVu Sans" w:cs="DejaVu Sans"/>
                <w:b w:val="0"/>
                <w:color w:val="171A1F"/>
                <w:sz w:val="15"/>
              </w:rPr>
              <w:t>10</w:t>
            </w:r>
          </w:p>
        </w:tc>
      </w:tr>
    </w:tbl>
    <w:p>
      <w:pPr>
        <w:spacing w:after="60"/>
      </w:pPr>
    </w:p>
    <w:tbl>
      <w:tblPr>
        <w:tblW w:type="dxa" w:w="9120"/>
        <w:jc w:val="center"/>
        <w:tblLayout w:type="fixed"/>
        <w:tblLook w:firstColumn="1" w:firstRow="1" w:lastColumn="0" w:lastRow="0" w:noHBand="0" w:noVBand="1" w:val="04A0"/>
        <w:tblInd w:w="120" w:type="dxa"/>
      </w:tblPr>
      <w:tblGrid>
        <w:gridCol w:w="9120"/>
      </w:tblGrid>
      <w:tr>
        <w:tc>
          <w:tcPr>
            <w:tcW w:type="dxa" w:w="9120"/>
            <w:tcMar>
              <w:top w:w="100" w:type="dxa"/>
              <w:start w:w="110" w:type="dxa"/>
              <w:bottom w:w="100" w:type="dxa"/>
              <w:end w:w="110" w:type="dxa"/>
            </w:tcMar>
            <w:shd w:fill="EEF1F5"/>
          </w:tcPr>
          <w:p>
            <w:pPr>
              <w:jc w:val="right"/>
              <w:bidi w:val="1"/>
            </w:pPr>
            <w:r>
              <w:rPr>
                <w:rFonts w:ascii="DejaVu Sans" w:hAnsi="DejaVu Sans" w:cs="DejaVu Sans"/>
                <w:b/>
                <w:color w:val="101B2D"/>
                <w:sz w:val="20"/>
              </w:rPr>
              <w:t xml:space="preserve">قاعدة توزيع الميزانية: </w:t>
            </w:r>
            <w:r>
              <w:rPr>
                <w:rFonts w:ascii="DejaVu Sans" w:hAnsi="DejaVu Sans" w:cs="DejaVu Sans"/>
                <w:b w:val="0"/>
                <w:color w:val="171A1F"/>
                <w:sz w:val="20"/>
              </w:rPr>
              <w:t>70% لقنوات مملوكة وقابلة للقياس (الموقع، LinkedIn، البريد، الندوات)، 20% لعلاقات عامة موثوقة، 10% تجارب مدفوعة. لا تُشترى التغطية قبل وجود أصل معرفي وصفحة تحويل.</w:t>
            </w:r>
          </w:p>
        </w:tc>
      </w:tr>
    </w:tbl>
    <w:p>
      <w:pPr>
        <w:spacing w:after="40"/>
      </w:pPr>
    </w:p>
    <w:p>
      <w:r>
        <w:br w:type="page"/>
      </w:r>
    </w:p>
    <w:p>
      <w:pPr>
        <w:pStyle w:val="Heading1"/>
        <w:jc w:val="right"/>
        <w:bidi w:val="1"/>
      </w:pPr>
      <w:r>
        <w:t>7. كيف تعمل خوارزميات الوصول – وما الذي نفعله عمليًا؟</w:t>
      </w:r>
    </w:p>
    <w:p>
      <w:pPr>
        <w:spacing w:before="0" w:after="100" w:line="283" w:lineRule="auto"/>
        <w:jc w:val="right"/>
        <w:bidi w:val="1"/>
      </w:pPr>
      <w:r>
        <w:rPr>
          <w:rFonts w:ascii="DejaVu Sans" w:hAnsi="DejaVu Sans" w:cs="DejaVu Sans"/>
          <w:b w:val="0"/>
          <w:color w:val="171A1F"/>
          <w:sz w:val="20"/>
        </w:rPr>
        <w:t>لا توجد «خوارزمية يعتمدها المكتب». توجد خوارزميات منصات، ثم طريقة محتوى تستفيد من إشاراتها. ما يلي مبني على الإفصاحات الرسمية للمنصات، وليس وصفة سرية.</w:t>
      </w:r>
    </w:p>
    <w:tbl>
      <w:tblPr>
        <w:tblStyle w:val="TableGrid"/>
        <w:tblW w:type="dxa" w:w="9120"/>
        <w:jc w:val="center"/>
        <w:tblLayout w:type="fixed"/>
        <w:tblLook w:firstColumn="1" w:firstRow="1" w:lastColumn="0" w:lastRow="0" w:noHBand="0" w:noVBand="1" w:val="04A0"/>
        <w:tblInd w:w="120" w:type="dxa"/>
      </w:tblPr>
      <w:tblGrid>
        <w:gridCol w:w="1150"/>
        <w:gridCol w:w="2800"/>
        <w:gridCol w:w="2850"/>
        <w:gridCol w:w="2320"/>
      </w:tblGrid>
      <w:tr>
        <w:trPr>
          <w:tblHeader/>
        </w:trPr>
        <w:tc>
          <w:tcPr>
            <w:tcW w:type="dxa" w:w="115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4"/>
              </w:rPr>
              <w:t>المنصة</w:t>
            </w:r>
          </w:p>
        </w:tc>
        <w:tc>
          <w:tcPr>
            <w:tcW w:type="dxa" w:w="280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4"/>
              </w:rPr>
              <w:t>الإشارات المعلنة/المفهومة</w:t>
            </w:r>
          </w:p>
        </w:tc>
        <w:tc>
          <w:tcPr>
            <w:tcW w:type="dxa" w:w="285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4"/>
              </w:rPr>
              <w:t>التطبيق للمكتب</w:t>
            </w:r>
          </w:p>
        </w:tc>
        <w:tc>
          <w:tcPr>
            <w:tcW w:type="dxa" w:w="232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4"/>
              </w:rPr>
              <w:t>ما يجب تجنبه</w:t>
            </w:r>
          </w:p>
        </w:tc>
      </w:tr>
      <w:tr>
        <w:tc>
          <w:tcPr>
            <w:tcW w:type="dxa" w:w="1150"/>
            <w:vAlign w:val="center"/>
          </w:tcPr>
          <w:p>
            <w:pPr>
              <w:jc w:val="right"/>
              <w:bidi w:val="1"/>
            </w:pPr>
            <w:r>
              <w:rPr>
                <w:rFonts w:ascii="DejaVu Sans" w:hAnsi="DejaVu Sans" w:cs="DejaVu Sans"/>
                <w:b w:val="0"/>
                <w:color w:val="171A1F"/>
                <w:sz w:val="14"/>
              </w:rPr>
              <w:t>LinkedIn</w:t>
            </w:r>
          </w:p>
        </w:tc>
        <w:tc>
          <w:tcPr>
            <w:tcW w:type="dxa" w:w="2800"/>
            <w:vAlign w:val="center"/>
          </w:tcPr>
          <w:p>
            <w:pPr>
              <w:jc w:val="center"/>
              <w:bidi w:val="1"/>
            </w:pPr>
            <w:r>
              <w:rPr>
                <w:rFonts w:ascii="DejaVu Sans" w:hAnsi="DejaVu Sans" w:cs="DejaVu Sans"/>
                <w:b w:val="0"/>
                <w:color w:val="171A1F"/>
                <w:sz w:val="14"/>
              </w:rPr>
              <w:t>صلة المحتوى باهتمامات العضو، ملفه، ما يشاهده وكيف يتفاعل؛ خفض المحتوى منخفض الجودة</w:t>
            </w:r>
          </w:p>
        </w:tc>
        <w:tc>
          <w:tcPr>
            <w:tcW w:type="dxa" w:w="2850"/>
            <w:vAlign w:val="center"/>
          </w:tcPr>
          <w:p>
            <w:pPr>
              <w:jc w:val="center"/>
              <w:bidi w:val="1"/>
            </w:pPr>
            <w:r>
              <w:rPr>
                <w:rFonts w:ascii="DejaVu Sans" w:hAnsi="DejaVu Sans" w:cs="DejaVu Sans"/>
                <w:b w:val="0"/>
                <w:color w:val="171A1F"/>
                <w:sz w:val="14"/>
              </w:rPr>
              <w:t>تخصصات واضحة، حسابات محامين مكتملة، منشور يخدم قرارًا، تعليق خبير، نشرة دورية</w:t>
            </w:r>
          </w:p>
        </w:tc>
        <w:tc>
          <w:tcPr>
            <w:tcW w:type="dxa" w:w="2320"/>
            <w:vAlign w:val="center"/>
          </w:tcPr>
          <w:p>
            <w:pPr>
              <w:jc w:val="center"/>
              <w:bidi w:val="1"/>
            </w:pPr>
            <w:r>
              <w:rPr>
                <w:rFonts w:ascii="DejaVu Sans" w:hAnsi="DejaVu Sans" w:cs="DejaVu Sans"/>
                <w:b w:val="0"/>
                <w:color w:val="171A1F"/>
                <w:sz w:val="14"/>
              </w:rPr>
              <w:t>حشو هاشتاقات، منشورات عامة، روابط بلا سياق، تفاعل موظفين مصطنع</w:t>
            </w:r>
          </w:p>
        </w:tc>
      </w:tr>
      <w:tr>
        <w:tc>
          <w:tcPr>
            <w:tcW w:type="dxa" w:w="1150"/>
            <w:vAlign w:val="center"/>
            <w:shd w:fill="F7F8FA"/>
          </w:tcPr>
          <w:p>
            <w:pPr>
              <w:jc w:val="right"/>
              <w:bidi w:val="1"/>
            </w:pPr>
            <w:r>
              <w:rPr>
                <w:rFonts w:ascii="DejaVu Sans" w:hAnsi="DejaVu Sans" w:cs="DejaVu Sans"/>
                <w:b w:val="0"/>
                <w:color w:val="171A1F"/>
                <w:sz w:val="14"/>
              </w:rPr>
              <w:t>X</w:t>
            </w:r>
          </w:p>
        </w:tc>
        <w:tc>
          <w:tcPr>
            <w:tcW w:type="dxa" w:w="2800"/>
            <w:vAlign w:val="center"/>
            <w:shd w:fill="F7F8FA"/>
          </w:tcPr>
          <w:p>
            <w:pPr>
              <w:jc w:val="center"/>
              <w:bidi w:val="1"/>
            </w:pPr>
            <w:r>
              <w:rPr>
                <w:rFonts w:ascii="DejaVu Sans" w:hAnsi="DejaVu Sans" w:cs="DejaVu Sans"/>
                <w:b w:val="0"/>
                <w:color w:val="171A1F"/>
                <w:sz w:val="14"/>
              </w:rPr>
              <w:t>الحداثة والموضوع/المحادثة والاهتمامات؛ إعلانات تستفيد من الكلمات والمتفاعلين</w:t>
            </w:r>
          </w:p>
        </w:tc>
        <w:tc>
          <w:tcPr>
            <w:tcW w:type="dxa" w:w="2850"/>
            <w:vAlign w:val="center"/>
            <w:shd w:fill="F7F8FA"/>
          </w:tcPr>
          <w:p>
            <w:pPr>
              <w:jc w:val="center"/>
              <w:bidi w:val="1"/>
            </w:pPr>
            <w:r>
              <w:rPr>
                <w:rFonts w:ascii="DejaVu Sans" w:hAnsi="DejaVu Sans" w:cs="DejaVu Sans"/>
                <w:b w:val="0"/>
                <w:color w:val="171A1F"/>
                <w:sz w:val="14"/>
              </w:rPr>
              <w:t>تعليق سريع على نظام/قرار، قوائم صحفيين وجهات، سلسلة قصيرة تربط لمقال أصلي</w:t>
            </w:r>
          </w:p>
        </w:tc>
        <w:tc>
          <w:tcPr>
            <w:tcW w:type="dxa" w:w="2320"/>
            <w:vAlign w:val="center"/>
            <w:shd w:fill="F7F8FA"/>
          </w:tcPr>
          <w:p>
            <w:pPr>
              <w:jc w:val="center"/>
              <w:bidi w:val="1"/>
            </w:pPr>
            <w:r>
              <w:rPr>
                <w:rFonts w:ascii="DejaVu Sans" w:hAnsi="DejaVu Sans" w:cs="DejaVu Sans"/>
                <w:b w:val="0"/>
                <w:color w:val="171A1F"/>
                <w:sz w:val="14"/>
              </w:rPr>
              <w:t>نسخ بيان طويل، الدخول في جدل، نشر بلا مراجعة</w:t>
            </w:r>
          </w:p>
        </w:tc>
      </w:tr>
      <w:tr>
        <w:tc>
          <w:tcPr>
            <w:tcW w:type="dxa" w:w="1150"/>
            <w:vAlign w:val="center"/>
          </w:tcPr>
          <w:p>
            <w:pPr>
              <w:jc w:val="right"/>
              <w:bidi w:val="1"/>
            </w:pPr>
            <w:r>
              <w:rPr>
                <w:rFonts w:ascii="DejaVu Sans" w:hAnsi="DejaVu Sans" w:cs="DejaVu Sans"/>
                <w:b w:val="0"/>
                <w:color w:val="171A1F"/>
                <w:sz w:val="14"/>
              </w:rPr>
              <w:t>بحث Google</w:t>
            </w:r>
          </w:p>
        </w:tc>
        <w:tc>
          <w:tcPr>
            <w:tcW w:type="dxa" w:w="2800"/>
            <w:vAlign w:val="center"/>
          </w:tcPr>
          <w:p>
            <w:pPr>
              <w:jc w:val="center"/>
              <w:bidi w:val="1"/>
            </w:pPr>
            <w:r>
              <w:rPr>
                <w:rFonts w:ascii="DejaVu Sans" w:hAnsi="DejaVu Sans" w:cs="DejaVu Sans"/>
                <w:b w:val="0"/>
                <w:color w:val="171A1F"/>
                <w:sz w:val="14"/>
              </w:rPr>
              <w:t>الملاءمة والموثوقية وسهولة الوصول والسياق؛ لا توجد ضمانة ترتيب</w:t>
            </w:r>
          </w:p>
        </w:tc>
        <w:tc>
          <w:tcPr>
            <w:tcW w:type="dxa" w:w="2850"/>
            <w:vAlign w:val="center"/>
          </w:tcPr>
          <w:p>
            <w:pPr>
              <w:jc w:val="center"/>
              <w:bidi w:val="1"/>
            </w:pPr>
            <w:r>
              <w:rPr>
                <w:rFonts w:ascii="DejaVu Sans" w:hAnsi="DejaVu Sans" w:cs="DejaVu Sans"/>
                <w:b w:val="0"/>
                <w:color w:val="171A1F"/>
                <w:sz w:val="14"/>
              </w:rPr>
              <w:t>صفحة خدمة + مقال خبير + سيرة مؤلف + مصادر + تحديث تاريخي + بيانات منظمة</w:t>
            </w:r>
          </w:p>
        </w:tc>
        <w:tc>
          <w:tcPr>
            <w:tcW w:type="dxa" w:w="2320"/>
            <w:vAlign w:val="center"/>
          </w:tcPr>
          <w:p>
            <w:pPr>
              <w:jc w:val="center"/>
              <w:bidi w:val="1"/>
            </w:pPr>
            <w:r>
              <w:rPr>
                <w:rFonts w:ascii="DejaVu Sans" w:hAnsi="DejaVu Sans" w:cs="DejaVu Sans"/>
                <w:b w:val="0"/>
                <w:color w:val="171A1F"/>
                <w:sz w:val="14"/>
              </w:rPr>
              <w:t>مقالات AI عامة، تكرار كلمات، صفحات بلا مؤلف أو دليل خبرة</w:t>
            </w:r>
          </w:p>
        </w:tc>
      </w:tr>
      <w:tr>
        <w:tc>
          <w:tcPr>
            <w:tcW w:type="dxa" w:w="1150"/>
            <w:vAlign w:val="center"/>
            <w:shd w:fill="F7F8FA"/>
          </w:tcPr>
          <w:p>
            <w:pPr>
              <w:jc w:val="right"/>
              <w:bidi w:val="1"/>
            </w:pPr>
            <w:r>
              <w:rPr>
                <w:rFonts w:ascii="DejaVu Sans" w:hAnsi="DejaVu Sans" w:cs="DejaVu Sans"/>
                <w:b w:val="0"/>
                <w:color w:val="171A1F"/>
                <w:sz w:val="14"/>
              </w:rPr>
              <w:t>Instagram</w:t>
            </w:r>
          </w:p>
        </w:tc>
        <w:tc>
          <w:tcPr>
            <w:tcW w:type="dxa" w:w="2800"/>
            <w:vAlign w:val="center"/>
            <w:shd w:fill="F7F8FA"/>
          </w:tcPr>
          <w:p>
            <w:pPr>
              <w:jc w:val="center"/>
              <w:bidi w:val="1"/>
            </w:pPr>
            <w:r>
              <w:rPr>
                <w:rFonts w:ascii="DejaVu Sans" w:hAnsi="DejaVu Sans" w:cs="DejaVu Sans"/>
                <w:b w:val="0"/>
                <w:color w:val="171A1F"/>
                <w:sz w:val="14"/>
              </w:rPr>
              <w:t>توقع اهتمام المستخدم وتفاعله مع الصيغة والحساب؛ تختلف الإشارات حسب السطح</w:t>
            </w:r>
          </w:p>
        </w:tc>
        <w:tc>
          <w:tcPr>
            <w:tcW w:type="dxa" w:w="2850"/>
            <w:vAlign w:val="center"/>
            <w:shd w:fill="F7F8FA"/>
          </w:tcPr>
          <w:p>
            <w:pPr>
              <w:jc w:val="center"/>
              <w:bidi w:val="1"/>
            </w:pPr>
            <w:r>
              <w:rPr>
                <w:rFonts w:ascii="DejaVu Sans" w:hAnsi="DejaVu Sans" w:cs="DejaVu Sans"/>
                <w:b w:val="0"/>
                <w:color w:val="171A1F"/>
                <w:sz w:val="14"/>
              </w:rPr>
              <w:t>فيديو قصير بوجه محامٍ، نص على الشاشة، سلسلة ثابتة، هوية إنسانية</w:t>
            </w:r>
          </w:p>
        </w:tc>
        <w:tc>
          <w:tcPr>
            <w:tcW w:type="dxa" w:w="2320"/>
            <w:vAlign w:val="center"/>
            <w:shd w:fill="F7F8FA"/>
          </w:tcPr>
          <w:p>
            <w:pPr>
              <w:jc w:val="center"/>
              <w:bidi w:val="1"/>
            </w:pPr>
            <w:r>
              <w:rPr>
                <w:rFonts w:ascii="DejaVu Sans" w:hAnsi="DejaVu Sans" w:cs="DejaVu Sans"/>
                <w:b w:val="0"/>
                <w:color w:val="171A1F"/>
                <w:sz w:val="14"/>
              </w:rPr>
              <w:t>تصميمات نصية مزدحمة، نسخ LinkedIn حرفيًا</w:t>
            </w:r>
          </w:p>
        </w:tc>
      </w:tr>
    </w:tbl>
    <w:p>
      <w:pPr>
        <w:spacing w:after="60"/>
      </w:pPr>
    </w:p>
    <w:p>
      <w:pPr>
        <w:spacing w:before="0" w:after="120" w:line="283" w:lineRule="auto"/>
        <w:jc w:val="right"/>
        <w:bidi w:val="1"/>
      </w:pPr>
      <w:r>
        <w:rPr>
          <w:rFonts w:ascii="DejaVu Sans" w:hAnsi="DejaVu Sans" w:cs="DejaVu Sans"/>
          <w:b w:val="0"/>
          <w:color w:val="5E6672"/>
          <w:sz w:val="15"/>
        </w:rPr>
        <w:t>المصادر: [6]، [7]، [8]، [9]، [10]</w:t>
      </w:r>
    </w:p>
    <w:p>
      <w:pPr>
        <w:pStyle w:val="Heading2"/>
        <w:jc w:val="right"/>
        <w:bidi w:val="1"/>
      </w:pPr>
      <w:r>
        <w:t>صيغة منشور LinkedIn عالية الاحتمال</w:t>
      </w:r>
    </w:p>
    <w:p>
      <w:pPr>
        <w:pStyle w:val="ListBullet"/>
        <w:spacing w:after="60"/>
        <w:jc w:val="right"/>
        <w:bidi w:val="1"/>
      </w:pPr>
      <w:r>
        <w:rPr>
          <w:rFonts w:ascii="DejaVu Sans" w:hAnsi="DejaVu Sans" w:cs="DejaVu Sans"/>
          <w:b w:val="0"/>
          <w:color w:val="171A1F"/>
          <w:sz w:val="19"/>
        </w:rPr>
        <w:t>السطر الأول: أثر تجاري محدد، لا عنوان نظام فقط.</w:t>
      </w:r>
    </w:p>
    <w:p>
      <w:pPr>
        <w:pStyle w:val="ListBullet"/>
        <w:spacing w:after="60"/>
        <w:jc w:val="right"/>
        <w:bidi w:val="1"/>
      </w:pPr>
      <w:r>
        <w:rPr>
          <w:rFonts w:ascii="DejaVu Sans" w:hAnsi="DejaVu Sans" w:cs="DejaVu Sans"/>
          <w:b w:val="0"/>
          <w:color w:val="171A1F"/>
          <w:sz w:val="19"/>
        </w:rPr>
        <w:t>3 نقاط: ماذا تغير؟ من يتأثر؟ ماذا ينبغي فعله خلال 30 يومًا؟</w:t>
      </w:r>
    </w:p>
    <w:p>
      <w:pPr>
        <w:pStyle w:val="ListBullet"/>
        <w:spacing w:after="60"/>
        <w:jc w:val="right"/>
        <w:bidi w:val="1"/>
      </w:pPr>
      <w:r>
        <w:rPr>
          <w:rFonts w:ascii="DejaVu Sans" w:hAnsi="DejaVu Sans" w:cs="DejaVu Sans"/>
          <w:b w:val="0"/>
          <w:color w:val="171A1F"/>
          <w:sz w:val="19"/>
        </w:rPr>
        <w:t>اسم المحامي وتخصصه، مع رابط أصل أعمق أو دعوة لإحاطة.</w:t>
      </w:r>
    </w:p>
    <w:p>
      <w:pPr>
        <w:pStyle w:val="ListBullet"/>
        <w:spacing w:after="60"/>
        <w:jc w:val="right"/>
        <w:bidi w:val="1"/>
      </w:pPr>
      <w:r>
        <w:rPr>
          <w:rFonts w:ascii="DejaVu Sans" w:hAnsi="DejaVu Sans" w:cs="DejaVu Sans"/>
          <w:b w:val="0"/>
          <w:color w:val="171A1F"/>
          <w:sz w:val="19"/>
        </w:rPr>
        <w:t>سؤال مهني حقيقي في النهاية، ثم ردود خبيرة خلال أول يوم.</w:t>
      </w:r>
    </w:p>
    <w:p>
      <w:r>
        <w:br w:type="page"/>
      </w:r>
    </w:p>
    <w:p>
      <w:pPr>
        <w:pStyle w:val="Heading1"/>
        <w:jc w:val="right"/>
        <w:bidi w:val="1"/>
      </w:pPr>
      <w:r>
        <w:t>8. الخطة المقترحة لمكتب أحمد المدني – 90 يومًا</w:t>
      </w:r>
    </w:p>
    <w:tbl>
      <w:tblPr>
        <w:tblW w:type="dxa" w:w="9120"/>
        <w:jc w:val="center"/>
        <w:tblLayout w:type="fixed"/>
        <w:tblLook w:firstColumn="1" w:firstRow="1" w:lastColumn="0" w:lastRow="0" w:noHBand="0" w:noVBand="1" w:val="04A0"/>
        <w:tblInd w:w="120" w:type="dxa"/>
      </w:tblPr>
      <w:tblGrid>
        <w:gridCol w:w="9120"/>
      </w:tblGrid>
      <w:tr>
        <w:tc>
          <w:tcPr>
            <w:tcW w:type="dxa" w:w="9120"/>
            <w:tcMar>
              <w:top w:w="100" w:type="dxa"/>
              <w:start w:w="110" w:type="dxa"/>
              <w:bottom w:w="100" w:type="dxa"/>
              <w:end w:w="110" w:type="dxa"/>
            </w:tcMar>
            <w:shd w:fill="E8EEF6"/>
          </w:tcPr>
          <w:p>
            <w:pPr>
              <w:jc w:val="right"/>
              <w:bidi w:val="1"/>
            </w:pPr>
            <w:r>
              <w:rPr>
                <w:rFonts w:ascii="DejaVu Sans" w:hAnsi="DejaVu Sans" w:cs="DejaVu Sans"/>
                <w:b/>
                <w:color w:val="101B2D"/>
                <w:sz w:val="20"/>
              </w:rPr>
              <w:t xml:space="preserve">التموضع المقترح: </w:t>
            </w:r>
            <w:r>
              <w:rPr>
                <w:rFonts w:ascii="DejaVu Sans" w:hAnsi="DejaVu Sans" w:cs="DejaVu Sans"/>
                <w:b w:val="0"/>
                <w:color w:val="171A1F"/>
                <w:sz w:val="20"/>
              </w:rPr>
              <w:t>مكتب قانوني سعودي يشرح أثر الأنظمة على القرار التجاري بوضوح، ويُبقي العميل على اطلاع دائم. يظهر «أحمد المدني» كقائد رأي، ويظهر الفريق كخبرات متخصصة لا كصور تعريفية فقط.</w:t>
            </w:r>
          </w:p>
        </w:tc>
      </w:tr>
    </w:tbl>
    <w:p>
      <w:pPr>
        <w:spacing w:after="40"/>
      </w:pPr>
    </w:p>
    <w:tbl>
      <w:tblPr>
        <w:tblStyle w:val="TableGrid"/>
        <w:tblW w:type="dxa" w:w="9120"/>
        <w:jc w:val="center"/>
        <w:tblLayout w:type="fixed"/>
        <w:tblLook w:firstColumn="1" w:firstRow="1" w:lastColumn="0" w:lastRow="0" w:noHBand="0" w:noVBand="1" w:val="04A0"/>
        <w:tblInd w:w="120" w:type="dxa"/>
      </w:tblPr>
      <w:tblGrid>
        <w:gridCol w:w="1300"/>
        <w:gridCol w:w="4500"/>
        <w:gridCol w:w="1400"/>
        <w:gridCol w:w="1920"/>
      </w:tblGrid>
      <w:tr>
        <w:trPr>
          <w:tblHeader/>
        </w:trPr>
        <w:tc>
          <w:tcPr>
            <w:tcW w:type="dxa" w:w="130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5"/>
              </w:rPr>
              <w:t>الفترة</w:t>
            </w:r>
          </w:p>
        </w:tc>
        <w:tc>
          <w:tcPr>
            <w:tcW w:type="dxa" w:w="450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5"/>
              </w:rPr>
              <w:t>المخرجات الإلزامية</w:t>
            </w:r>
          </w:p>
        </w:tc>
        <w:tc>
          <w:tcPr>
            <w:tcW w:type="dxa" w:w="140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5"/>
              </w:rPr>
              <w:t>مالك التنفيذ</w:t>
            </w:r>
          </w:p>
        </w:tc>
        <w:tc>
          <w:tcPr>
            <w:tcW w:type="dxa" w:w="192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5"/>
              </w:rPr>
              <w:t>معيار القبول</w:t>
            </w:r>
          </w:p>
        </w:tc>
      </w:tr>
      <w:tr>
        <w:tc>
          <w:tcPr>
            <w:tcW w:type="dxa" w:w="1300"/>
            <w:vAlign w:val="center"/>
          </w:tcPr>
          <w:p>
            <w:pPr>
              <w:jc w:val="right"/>
              <w:bidi w:val="1"/>
            </w:pPr>
            <w:r>
              <w:rPr>
                <w:rFonts w:ascii="DejaVu Sans" w:hAnsi="DejaVu Sans" w:cs="DejaVu Sans"/>
                <w:b w:val="0"/>
                <w:color w:val="171A1F"/>
                <w:sz w:val="15"/>
              </w:rPr>
              <w:t>أيام 1–15</w:t>
            </w:r>
          </w:p>
        </w:tc>
        <w:tc>
          <w:tcPr>
            <w:tcW w:type="dxa" w:w="4500"/>
            <w:vAlign w:val="center"/>
          </w:tcPr>
          <w:p>
            <w:pPr>
              <w:jc w:val="center"/>
              <w:bidi w:val="1"/>
            </w:pPr>
            <w:r>
              <w:rPr>
                <w:rFonts w:ascii="DejaVu Sans" w:hAnsi="DejaVu Sans" w:cs="DejaVu Sans"/>
                <w:b w:val="0"/>
                <w:color w:val="171A1F"/>
                <w:sz w:val="15"/>
              </w:rPr>
              <w:t>تحديد 3 قطاعات، تدقيق الحسابات، 4 صفحات خدمات، قائمة 30 موضوعًا، سياسة اعتماد</w:t>
            </w:r>
          </w:p>
        </w:tc>
        <w:tc>
          <w:tcPr>
            <w:tcW w:type="dxa" w:w="1400"/>
            <w:vAlign w:val="center"/>
          </w:tcPr>
          <w:p>
            <w:pPr>
              <w:jc w:val="center"/>
              <w:bidi w:val="1"/>
            </w:pPr>
            <w:r>
              <w:rPr>
                <w:rFonts w:ascii="DejaVu Sans" w:hAnsi="DejaVu Sans" w:cs="DejaVu Sans"/>
                <w:b w:val="0"/>
                <w:color w:val="171A1F"/>
                <w:sz w:val="15"/>
              </w:rPr>
              <w:t>التسويق + الشريك</w:t>
            </w:r>
          </w:p>
        </w:tc>
        <w:tc>
          <w:tcPr>
            <w:tcW w:type="dxa" w:w="1920"/>
            <w:vAlign w:val="center"/>
          </w:tcPr>
          <w:p>
            <w:pPr>
              <w:jc w:val="center"/>
              <w:bidi w:val="1"/>
            </w:pPr>
            <w:r>
              <w:rPr>
                <w:rFonts w:ascii="DejaVu Sans" w:hAnsi="DejaVu Sans" w:cs="DejaVu Sans"/>
                <w:b w:val="0"/>
                <w:color w:val="171A1F"/>
                <w:sz w:val="15"/>
              </w:rPr>
              <w:t>كل موضوع مرتبط بسؤال عميل وخدمة</w:t>
            </w:r>
          </w:p>
        </w:tc>
      </w:tr>
      <w:tr>
        <w:tc>
          <w:tcPr>
            <w:tcW w:type="dxa" w:w="1300"/>
            <w:vAlign w:val="center"/>
            <w:shd w:fill="F7F8FA"/>
          </w:tcPr>
          <w:p>
            <w:pPr>
              <w:jc w:val="right"/>
              <w:bidi w:val="1"/>
            </w:pPr>
            <w:r>
              <w:rPr>
                <w:rFonts w:ascii="DejaVu Sans" w:hAnsi="DejaVu Sans" w:cs="DejaVu Sans"/>
                <w:b w:val="0"/>
                <w:color w:val="171A1F"/>
                <w:sz w:val="15"/>
              </w:rPr>
              <w:t>أيام 16–30</w:t>
            </w:r>
          </w:p>
        </w:tc>
        <w:tc>
          <w:tcPr>
            <w:tcW w:type="dxa" w:w="4500"/>
            <w:vAlign w:val="center"/>
            <w:shd w:fill="F7F8FA"/>
          </w:tcPr>
          <w:p>
            <w:pPr>
              <w:jc w:val="center"/>
              <w:bidi w:val="1"/>
            </w:pPr>
            <w:r>
              <w:rPr>
                <w:rFonts w:ascii="DejaVu Sans" w:hAnsi="DejaVu Sans" w:cs="DejaVu Sans"/>
                <w:b w:val="0"/>
                <w:color w:val="171A1F"/>
                <w:sz w:val="15"/>
              </w:rPr>
              <w:t>تصوير 6 خبراء، إطلاق قالبين، مقالان مرجعيان، إعداد CRM وUTM ونموذج مصدر العميل</w:t>
            </w:r>
          </w:p>
        </w:tc>
        <w:tc>
          <w:tcPr>
            <w:tcW w:type="dxa" w:w="1400"/>
            <w:vAlign w:val="center"/>
            <w:shd w:fill="F7F8FA"/>
          </w:tcPr>
          <w:p>
            <w:pPr>
              <w:jc w:val="center"/>
              <w:bidi w:val="1"/>
            </w:pPr>
            <w:r>
              <w:rPr>
                <w:rFonts w:ascii="DejaVu Sans" w:hAnsi="DejaVu Sans" w:cs="DejaVu Sans"/>
                <w:b w:val="0"/>
                <w:color w:val="171A1F"/>
                <w:sz w:val="15"/>
              </w:rPr>
              <w:t>التسويق + IT</w:t>
            </w:r>
          </w:p>
        </w:tc>
        <w:tc>
          <w:tcPr>
            <w:tcW w:type="dxa" w:w="1920"/>
            <w:vAlign w:val="center"/>
            <w:shd w:fill="F7F8FA"/>
          </w:tcPr>
          <w:p>
            <w:pPr>
              <w:jc w:val="center"/>
              <w:bidi w:val="1"/>
            </w:pPr>
            <w:r>
              <w:rPr>
                <w:rFonts w:ascii="DejaVu Sans" w:hAnsi="DejaVu Sans" w:cs="DejaVu Sans"/>
                <w:b w:val="0"/>
                <w:color w:val="171A1F"/>
                <w:sz w:val="15"/>
              </w:rPr>
              <w:t>إسناد كل طلب إلى قناة/حملة</w:t>
            </w:r>
          </w:p>
        </w:tc>
      </w:tr>
      <w:tr>
        <w:tc>
          <w:tcPr>
            <w:tcW w:type="dxa" w:w="1300"/>
            <w:vAlign w:val="center"/>
          </w:tcPr>
          <w:p>
            <w:pPr>
              <w:jc w:val="right"/>
              <w:bidi w:val="1"/>
            </w:pPr>
            <w:r>
              <w:rPr>
                <w:rFonts w:ascii="DejaVu Sans" w:hAnsi="DejaVu Sans" w:cs="DejaVu Sans"/>
                <w:b w:val="0"/>
                <w:color w:val="171A1F"/>
                <w:sz w:val="15"/>
              </w:rPr>
              <w:t>أيام 31–60</w:t>
            </w:r>
          </w:p>
        </w:tc>
        <w:tc>
          <w:tcPr>
            <w:tcW w:type="dxa" w:w="4500"/>
            <w:vAlign w:val="center"/>
          </w:tcPr>
          <w:p>
            <w:pPr>
              <w:jc w:val="center"/>
              <w:bidi w:val="1"/>
            </w:pPr>
            <w:r>
              <w:rPr>
                <w:rFonts w:ascii="DejaVu Sans" w:hAnsi="DejaVu Sans" w:cs="DejaVu Sans"/>
                <w:b w:val="0"/>
                <w:color w:val="171A1F"/>
                <w:sz w:val="15"/>
              </w:rPr>
              <w:t>8 منشورات خبراء، 4 تحديثات، نشرة، إحاطة عميل مغلقة، عرض تعليقين لصحفيين</w:t>
            </w:r>
          </w:p>
        </w:tc>
        <w:tc>
          <w:tcPr>
            <w:tcW w:type="dxa" w:w="1400"/>
            <w:vAlign w:val="center"/>
          </w:tcPr>
          <w:p>
            <w:pPr>
              <w:jc w:val="center"/>
              <w:bidi w:val="1"/>
            </w:pPr>
            <w:r>
              <w:rPr>
                <w:rFonts w:ascii="DejaVu Sans" w:hAnsi="DejaVu Sans" w:cs="DejaVu Sans"/>
                <w:b w:val="0"/>
                <w:color w:val="171A1F"/>
                <w:sz w:val="15"/>
              </w:rPr>
              <w:t>محرر + محامون</w:t>
            </w:r>
          </w:p>
        </w:tc>
        <w:tc>
          <w:tcPr>
            <w:tcW w:type="dxa" w:w="1920"/>
            <w:vAlign w:val="center"/>
          </w:tcPr>
          <w:p>
            <w:pPr>
              <w:jc w:val="center"/>
              <w:bidi w:val="1"/>
            </w:pPr>
            <w:r>
              <w:rPr>
                <w:rFonts w:ascii="DejaVu Sans" w:hAnsi="DejaVu Sans" w:cs="DejaVu Sans"/>
                <w:b w:val="0"/>
                <w:color w:val="171A1F"/>
                <w:sz w:val="15"/>
              </w:rPr>
              <w:t>≥25% حضور من المسجلين المؤهلين</w:t>
            </w:r>
          </w:p>
        </w:tc>
      </w:tr>
      <w:tr>
        <w:tc>
          <w:tcPr>
            <w:tcW w:type="dxa" w:w="1300"/>
            <w:vAlign w:val="center"/>
            <w:shd w:fill="F7F8FA"/>
          </w:tcPr>
          <w:p>
            <w:pPr>
              <w:jc w:val="right"/>
              <w:bidi w:val="1"/>
            </w:pPr>
            <w:r>
              <w:rPr>
                <w:rFonts w:ascii="DejaVu Sans" w:hAnsi="DejaVu Sans" w:cs="DejaVu Sans"/>
                <w:b w:val="0"/>
                <w:color w:val="171A1F"/>
                <w:sz w:val="15"/>
              </w:rPr>
              <w:t>أيام 61–90</w:t>
            </w:r>
          </w:p>
        </w:tc>
        <w:tc>
          <w:tcPr>
            <w:tcW w:type="dxa" w:w="4500"/>
            <w:vAlign w:val="center"/>
            <w:shd w:fill="F7F8FA"/>
          </w:tcPr>
          <w:p>
            <w:pPr>
              <w:jc w:val="center"/>
              <w:bidi w:val="1"/>
            </w:pPr>
            <w:r>
              <w:rPr>
                <w:rFonts w:ascii="DejaVu Sans" w:hAnsi="DejaVu Sans" w:cs="DejaVu Sans"/>
                <w:b w:val="0"/>
                <w:color w:val="171A1F"/>
                <w:sz w:val="15"/>
              </w:rPr>
              <w:t>دليل قابل للتحميل، ندوة عامة، 3 قصص خبرة غير سرية، حملة إعادة استهداف، مراجعة أداء</w:t>
            </w:r>
          </w:p>
        </w:tc>
        <w:tc>
          <w:tcPr>
            <w:tcW w:type="dxa" w:w="1400"/>
            <w:vAlign w:val="center"/>
            <w:shd w:fill="F7F8FA"/>
          </w:tcPr>
          <w:p>
            <w:pPr>
              <w:jc w:val="center"/>
              <w:bidi w:val="1"/>
            </w:pPr>
            <w:r>
              <w:rPr>
                <w:rFonts w:ascii="DejaVu Sans" w:hAnsi="DejaVu Sans" w:cs="DejaVu Sans"/>
                <w:b w:val="0"/>
                <w:color w:val="171A1F"/>
                <w:sz w:val="15"/>
              </w:rPr>
              <w:t>الشريك + التسويق</w:t>
            </w:r>
          </w:p>
        </w:tc>
        <w:tc>
          <w:tcPr>
            <w:tcW w:type="dxa" w:w="1920"/>
            <w:vAlign w:val="center"/>
            <w:shd w:fill="F7F8FA"/>
          </w:tcPr>
          <w:p>
            <w:pPr>
              <w:jc w:val="center"/>
              <w:bidi w:val="1"/>
            </w:pPr>
            <w:r>
              <w:rPr>
                <w:rFonts w:ascii="DejaVu Sans" w:hAnsi="DejaVu Sans" w:cs="DejaVu Sans"/>
                <w:b w:val="0"/>
                <w:color w:val="171A1F"/>
                <w:sz w:val="15"/>
              </w:rPr>
              <w:t>اجتماعات مؤهلة + نمو قائمة البريد</w:t>
            </w:r>
          </w:p>
        </w:tc>
      </w:tr>
    </w:tbl>
    <w:p>
      <w:pPr>
        <w:spacing w:after="60"/>
      </w:pPr>
    </w:p>
    <w:p>
      <w:pPr>
        <w:pStyle w:val="Heading2"/>
        <w:jc w:val="right"/>
        <w:bidi w:val="1"/>
      </w:pPr>
      <w:r>
        <w:t>إيقاع النشر الشهري</w:t>
      </w:r>
    </w:p>
    <w:tbl>
      <w:tblPr>
        <w:tblStyle w:val="TableGrid"/>
        <w:tblW w:type="dxa" w:w="9120"/>
        <w:jc w:val="center"/>
        <w:tblLayout w:type="fixed"/>
        <w:tblLook w:firstColumn="1" w:firstRow="1" w:lastColumn="0" w:lastRow="0" w:noHBand="0" w:noVBand="1" w:val="04A0"/>
        <w:tblInd w:w="120" w:type="dxa"/>
      </w:tblPr>
      <w:tblGrid>
        <w:gridCol w:w="2500"/>
        <w:gridCol w:w="1400"/>
        <w:gridCol w:w="5220"/>
      </w:tblGrid>
      <w:tr>
        <w:trPr>
          <w:tblHeader/>
        </w:trPr>
        <w:tc>
          <w:tcPr>
            <w:tcW w:type="dxa" w:w="250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6"/>
              </w:rPr>
              <w:t>نوع الأصل</w:t>
            </w:r>
          </w:p>
        </w:tc>
        <w:tc>
          <w:tcPr>
            <w:tcW w:type="dxa" w:w="140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6"/>
              </w:rPr>
              <w:t>العدد/شهر</w:t>
            </w:r>
          </w:p>
        </w:tc>
        <w:tc>
          <w:tcPr>
            <w:tcW w:type="dxa" w:w="522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6"/>
              </w:rPr>
              <w:t>كيف يُعاد استخدامه</w:t>
            </w:r>
          </w:p>
        </w:tc>
      </w:tr>
      <w:tr>
        <w:tc>
          <w:tcPr>
            <w:tcW w:type="dxa" w:w="2500"/>
            <w:vAlign w:val="center"/>
          </w:tcPr>
          <w:p>
            <w:pPr>
              <w:jc w:val="right"/>
              <w:bidi w:val="1"/>
            </w:pPr>
            <w:r>
              <w:rPr>
                <w:rFonts w:ascii="DejaVu Sans" w:hAnsi="DejaVu Sans" w:cs="DejaVu Sans"/>
                <w:b w:val="0"/>
                <w:color w:val="171A1F"/>
                <w:sz w:val="16"/>
              </w:rPr>
              <w:t>مقال/دليل رئيسي</w:t>
            </w:r>
          </w:p>
        </w:tc>
        <w:tc>
          <w:tcPr>
            <w:tcW w:type="dxa" w:w="1400"/>
            <w:vAlign w:val="center"/>
          </w:tcPr>
          <w:p>
            <w:pPr>
              <w:jc w:val="center"/>
              <w:bidi w:val="1"/>
            </w:pPr>
            <w:r>
              <w:rPr>
                <w:rFonts w:ascii="DejaVu Sans" w:hAnsi="DejaVu Sans" w:cs="DejaVu Sans"/>
                <w:b w:val="0"/>
                <w:color w:val="171A1F"/>
                <w:sz w:val="16"/>
              </w:rPr>
              <w:t>2</w:t>
            </w:r>
          </w:p>
        </w:tc>
        <w:tc>
          <w:tcPr>
            <w:tcW w:type="dxa" w:w="5220"/>
            <w:vAlign w:val="center"/>
          </w:tcPr>
          <w:p>
            <w:pPr>
              <w:jc w:val="center"/>
              <w:bidi w:val="1"/>
            </w:pPr>
            <w:r>
              <w:rPr>
                <w:rFonts w:ascii="DejaVu Sans" w:hAnsi="DejaVu Sans" w:cs="DejaVu Sans"/>
                <w:b w:val="0"/>
                <w:color w:val="171A1F"/>
                <w:sz w:val="16"/>
              </w:rPr>
              <w:t>8 منشورات + 2 فيديو + بريد + عرض صحفي</w:t>
            </w:r>
          </w:p>
        </w:tc>
      </w:tr>
      <w:tr>
        <w:tc>
          <w:tcPr>
            <w:tcW w:type="dxa" w:w="2500"/>
            <w:vAlign w:val="center"/>
            <w:shd w:fill="F7F8FA"/>
          </w:tcPr>
          <w:p>
            <w:pPr>
              <w:jc w:val="right"/>
              <w:bidi w:val="1"/>
            </w:pPr>
            <w:r>
              <w:rPr>
                <w:rFonts w:ascii="DejaVu Sans" w:hAnsi="DejaVu Sans" w:cs="DejaVu Sans"/>
                <w:b w:val="0"/>
                <w:color w:val="171A1F"/>
                <w:sz w:val="16"/>
              </w:rPr>
              <w:t>تحديث نظامي سريع</w:t>
            </w:r>
          </w:p>
        </w:tc>
        <w:tc>
          <w:tcPr>
            <w:tcW w:type="dxa" w:w="1400"/>
            <w:vAlign w:val="center"/>
            <w:shd w:fill="F7F8FA"/>
          </w:tcPr>
          <w:p>
            <w:pPr>
              <w:jc w:val="center"/>
              <w:bidi w:val="1"/>
            </w:pPr>
            <w:r>
              <w:rPr>
                <w:rFonts w:ascii="DejaVu Sans" w:hAnsi="DejaVu Sans" w:cs="DejaVu Sans"/>
                <w:b w:val="0"/>
                <w:color w:val="171A1F"/>
                <w:sz w:val="16"/>
              </w:rPr>
              <w:t>4</w:t>
            </w:r>
          </w:p>
        </w:tc>
        <w:tc>
          <w:tcPr>
            <w:tcW w:type="dxa" w:w="5220"/>
            <w:vAlign w:val="center"/>
            <w:shd w:fill="F7F8FA"/>
          </w:tcPr>
          <w:p>
            <w:pPr>
              <w:jc w:val="center"/>
              <w:bidi w:val="1"/>
            </w:pPr>
            <w:r>
              <w:rPr>
                <w:rFonts w:ascii="DejaVu Sans" w:hAnsi="DejaVu Sans" w:cs="DejaVu Sans"/>
                <w:b w:val="0"/>
                <w:color w:val="171A1F"/>
                <w:sz w:val="16"/>
              </w:rPr>
              <w:t>منشور خبير + FAQ + تحديث صفحة خدمة</w:t>
            </w:r>
          </w:p>
        </w:tc>
      </w:tr>
      <w:tr>
        <w:tc>
          <w:tcPr>
            <w:tcW w:type="dxa" w:w="2500"/>
            <w:vAlign w:val="center"/>
          </w:tcPr>
          <w:p>
            <w:pPr>
              <w:jc w:val="right"/>
              <w:bidi w:val="1"/>
            </w:pPr>
            <w:r>
              <w:rPr>
                <w:rFonts w:ascii="DejaVu Sans" w:hAnsi="DejaVu Sans" w:cs="DejaVu Sans"/>
                <w:b w:val="0"/>
                <w:color w:val="171A1F"/>
                <w:sz w:val="16"/>
              </w:rPr>
              <w:t>فيديو محامٍ</w:t>
            </w:r>
          </w:p>
        </w:tc>
        <w:tc>
          <w:tcPr>
            <w:tcW w:type="dxa" w:w="1400"/>
            <w:vAlign w:val="center"/>
          </w:tcPr>
          <w:p>
            <w:pPr>
              <w:jc w:val="center"/>
              <w:bidi w:val="1"/>
            </w:pPr>
            <w:r>
              <w:rPr>
                <w:rFonts w:ascii="DejaVu Sans" w:hAnsi="DejaVu Sans" w:cs="DejaVu Sans"/>
                <w:b w:val="0"/>
                <w:color w:val="171A1F"/>
                <w:sz w:val="16"/>
              </w:rPr>
              <w:t>4</w:t>
            </w:r>
          </w:p>
        </w:tc>
        <w:tc>
          <w:tcPr>
            <w:tcW w:type="dxa" w:w="5220"/>
            <w:vAlign w:val="center"/>
          </w:tcPr>
          <w:p>
            <w:pPr>
              <w:jc w:val="center"/>
              <w:bidi w:val="1"/>
            </w:pPr>
            <w:r>
              <w:rPr>
                <w:rFonts w:ascii="DejaVu Sans" w:hAnsi="DejaVu Sans" w:cs="DejaVu Sans"/>
                <w:b w:val="0"/>
                <w:color w:val="171A1F"/>
                <w:sz w:val="16"/>
              </w:rPr>
              <w:t>LinkedIn + Instagram + مقتطفات</w:t>
            </w:r>
          </w:p>
        </w:tc>
      </w:tr>
      <w:tr>
        <w:tc>
          <w:tcPr>
            <w:tcW w:type="dxa" w:w="2500"/>
            <w:vAlign w:val="center"/>
            <w:shd w:fill="F7F8FA"/>
          </w:tcPr>
          <w:p>
            <w:pPr>
              <w:jc w:val="right"/>
              <w:bidi w:val="1"/>
            </w:pPr>
            <w:r>
              <w:rPr>
                <w:rFonts w:ascii="DejaVu Sans" w:hAnsi="DejaVu Sans" w:cs="DejaVu Sans"/>
                <w:b w:val="0"/>
                <w:color w:val="171A1F"/>
                <w:sz w:val="16"/>
              </w:rPr>
              <w:t>قصة خبرة/صفقة قابلة للنشر</w:t>
            </w:r>
          </w:p>
        </w:tc>
        <w:tc>
          <w:tcPr>
            <w:tcW w:type="dxa" w:w="1400"/>
            <w:vAlign w:val="center"/>
            <w:shd w:fill="F7F8FA"/>
          </w:tcPr>
          <w:p>
            <w:pPr>
              <w:jc w:val="center"/>
              <w:bidi w:val="1"/>
            </w:pPr>
            <w:r>
              <w:rPr>
                <w:rFonts w:ascii="DejaVu Sans" w:hAnsi="DejaVu Sans" w:cs="DejaVu Sans"/>
                <w:b w:val="0"/>
                <w:color w:val="171A1F"/>
                <w:sz w:val="16"/>
              </w:rPr>
              <w:t>2</w:t>
            </w:r>
          </w:p>
        </w:tc>
        <w:tc>
          <w:tcPr>
            <w:tcW w:type="dxa" w:w="5220"/>
            <w:vAlign w:val="center"/>
            <w:shd w:fill="F7F8FA"/>
          </w:tcPr>
          <w:p>
            <w:pPr>
              <w:jc w:val="center"/>
              <w:bidi w:val="1"/>
            </w:pPr>
            <w:r>
              <w:rPr>
                <w:rFonts w:ascii="DejaVu Sans" w:hAnsi="DejaVu Sans" w:cs="DejaVu Sans"/>
                <w:b w:val="0"/>
                <w:color w:val="171A1F"/>
                <w:sz w:val="16"/>
              </w:rPr>
              <w:t>صفحة موقع + منشور + submission</w:t>
            </w:r>
          </w:p>
        </w:tc>
      </w:tr>
      <w:tr>
        <w:tc>
          <w:tcPr>
            <w:tcW w:type="dxa" w:w="2500"/>
            <w:vAlign w:val="center"/>
          </w:tcPr>
          <w:p>
            <w:pPr>
              <w:jc w:val="right"/>
              <w:bidi w:val="1"/>
            </w:pPr>
            <w:r>
              <w:rPr>
                <w:rFonts w:ascii="DejaVu Sans" w:hAnsi="DejaVu Sans" w:cs="DejaVu Sans"/>
                <w:b w:val="0"/>
                <w:color w:val="171A1F"/>
                <w:sz w:val="16"/>
              </w:rPr>
              <w:t>نشرة بريدية</w:t>
            </w:r>
          </w:p>
        </w:tc>
        <w:tc>
          <w:tcPr>
            <w:tcW w:type="dxa" w:w="1400"/>
            <w:vAlign w:val="center"/>
          </w:tcPr>
          <w:p>
            <w:pPr>
              <w:jc w:val="center"/>
              <w:bidi w:val="1"/>
            </w:pPr>
            <w:r>
              <w:rPr>
                <w:rFonts w:ascii="DejaVu Sans" w:hAnsi="DejaVu Sans" w:cs="DejaVu Sans"/>
                <w:b w:val="0"/>
                <w:color w:val="171A1F"/>
                <w:sz w:val="16"/>
              </w:rPr>
              <w:t>1</w:t>
            </w:r>
          </w:p>
        </w:tc>
        <w:tc>
          <w:tcPr>
            <w:tcW w:type="dxa" w:w="5220"/>
            <w:vAlign w:val="center"/>
          </w:tcPr>
          <w:p>
            <w:pPr>
              <w:jc w:val="center"/>
              <w:bidi w:val="1"/>
            </w:pPr>
            <w:r>
              <w:rPr>
                <w:rFonts w:ascii="DejaVu Sans" w:hAnsi="DejaVu Sans" w:cs="DejaVu Sans"/>
                <w:b w:val="0"/>
                <w:color w:val="171A1F"/>
                <w:sz w:val="16"/>
              </w:rPr>
              <w:t>أفضل 3 تحديثات + دعوة إحاطة</w:t>
            </w:r>
          </w:p>
        </w:tc>
      </w:tr>
      <w:tr>
        <w:tc>
          <w:tcPr>
            <w:tcW w:type="dxa" w:w="2500"/>
            <w:vAlign w:val="center"/>
            <w:shd w:fill="F7F8FA"/>
          </w:tcPr>
          <w:p>
            <w:pPr>
              <w:jc w:val="right"/>
              <w:bidi w:val="1"/>
            </w:pPr>
            <w:r>
              <w:rPr>
                <w:rFonts w:ascii="DejaVu Sans" w:hAnsi="DejaVu Sans" w:cs="DejaVu Sans"/>
                <w:b w:val="0"/>
                <w:color w:val="171A1F"/>
                <w:sz w:val="16"/>
              </w:rPr>
              <w:t>ندوة/إحاطة</w:t>
            </w:r>
          </w:p>
        </w:tc>
        <w:tc>
          <w:tcPr>
            <w:tcW w:type="dxa" w:w="1400"/>
            <w:vAlign w:val="center"/>
            <w:shd w:fill="F7F8FA"/>
          </w:tcPr>
          <w:p>
            <w:pPr>
              <w:jc w:val="center"/>
              <w:bidi w:val="1"/>
            </w:pPr>
            <w:r>
              <w:rPr>
                <w:rFonts w:ascii="DejaVu Sans" w:hAnsi="DejaVu Sans" w:cs="DejaVu Sans"/>
                <w:b w:val="0"/>
                <w:color w:val="171A1F"/>
                <w:sz w:val="16"/>
              </w:rPr>
              <w:t>1</w:t>
            </w:r>
          </w:p>
        </w:tc>
        <w:tc>
          <w:tcPr>
            <w:tcW w:type="dxa" w:w="5220"/>
            <w:vAlign w:val="center"/>
            <w:shd w:fill="F7F8FA"/>
          </w:tcPr>
          <w:p>
            <w:pPr>
              <w:jc w:val="center"/>
              <w:bidi w:val="1"/>
            </w:pPr>
            <w:r>
              <w:rPr>
                <w:rFonts w:ascii="DejaVu Sans" w:hAnsi="DejaVu Sans" w:cs="DejaVu Sans"/>
                <w:b w:val="0"/>
                <w:color w:val="171A1F"/>
                <w:sz w:val="16"/>
              </w:rPr>
              <w:t>تسجيل + ملخص + متابعة مبيعات</w:t>
            </w:r>
          </w:p>
        </w:tc>
      </w:tr>
      <w:tr>
        <w:tc>
          <w:tcPr>
            <w:tcW w:type="dxa" w:w="2500"/>
            <w:vAlign w:val="center"/>
          </w:tcPr>
          <w:p>
            <w:pPr>
              <w:jc w:val="right"/>
              <w:bidi w:val="1"/>
            </w:pPr>
            <w:r>
              <w:rPr>
                <w:rFonts w:ascii="DejaVu Sans" w:hAnsi="DejaVu Sans" w:cs="DejaVu Sans"/>
                <w:b w:val="0"/>
                <w:color w:val="171A1F"/>
                <w:sz w:val="16"/>
              </w:rPr>
              <w:t>ثقافة وفريق</w:t>
            </w:r>
          </w:p>
        </w:tc>
        <w:tc>
          <w:tcPr>
            <w:tcW w:type="dxa" w:w="1400"/>
            <w:vAlign w:val="center"/>
          </w:tcPr>
          <w:p>
            <w:pPr>
              <w:jc w:val="center"/>
              <w:bidi w:val="1"/>
            </w:pPr>
            <w:r>
              <w:rPr>
                <w:rFonts w:ascii="DejaVu Sans" w:hAnsi="DejaVu Sans" w:cs="DejaVu Sans"/>
                <w:b w:val="0"/>
                <w:color w:val="171A1F"/>
                <w:sz w:val="16"/>
              </w:rPr>
              <w:t>2</w:t>
            </w:r>
          </w:p>
        </w:tc>
        <w:tc>
          <w:tcPr>
            <w:tcW w:type="dxa" w:w="5220"/>
            <w:vAlign w:val="center"/>
          </w:tcPr>
          <w:p>
            <w:pPr>
              <w:jc w:val="center"/>
              <w:bidi w:val="1"/>
            </w:pPr>
            <w:r>
              <w:rPr>
                <w:rFonts w:ascii="DejaVu Sans" w:hAnsi="DejaVu Sans" w:cs="DejaVu Sans"/>
                <w:b w:val="0"/>
                <w:color w:val="171A1F"/>
                <w:sz w:val="16"/>
              </w:rPr>
              <w:t>توظيف وبناء قرب؛ سقف 15% من المحتوى</w:t>
            </w:r>
          </w:p>
        </w:tc>
      </w:tr>
    </w:tbl>
    <w:p>
      <w:pPr>
        <w:spacing w:after="60"/>
      </w:pPr>
    </w:p>
    <w:p>
      <w:r>
        <w:br w:type="page"/>
      </w:r>
    </w:p>
    <w:p>
      <w:pPr>
        <w:pStyle w:val="Heading1"/>
        <w:jc w:val="right"/>
        <w:bidi w:val="1"/>
      </w:pPr>
      <w:r>
        <w:t>9. غرفة العمليات المقترحة</w:t>
      </w:r>
    </w:p>
    <w:tbl>
      <w:tblPr>
        <w:tblStyle w:val="TableGrid"/>
        <w:tblW w:type="dxa" w:w="9120"/>
        <w:jc w:val="center"/>
        <w:tblLayout w:type="fixed"/>
        <w:tblLook w:firstColumn="1" w:firstRow="1" w:lastColumn="0" w:lastRow="0" w:noHBand="0" w:noVBand="1" w:val="04A0"/>
        <w:tblInd w:w="120" w:type="dxa"/>
      </w:tblPr>
      <w:tblGrid>
        <w:gridCol w:w="1900"/>
        <w:gridCol w:w="4700"/>
        <w:gridCol w:w="2520"/>
      </w:tblGrid>
      <w:tr>
        <w:trPr>
          <w:tblHeader/>
        </w:trPr>
        <w:tc>
          <w:tcPr>
            <w:tcW w:type="dxa" w:w="190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6"/>
              </w:rPr>
              <w:t>الدور</w:t>
            </w:r>
          </w:p>
        </w:tc>
        <w:tc>
          <w:tcPr>
            <w:tcW w:type="dxa" w:w="470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6"/>
              </w:rPr>
              <w:t>المسؤولية الأسبوعية</w:t>
            </w:r>
          </w:p>
        </w:tc>
        <w:tc>
          <w:tcPr>
            <w:tcW w:type="dxa" w:w="252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6"/>
              </w:rPr>
              <w:t>الوقت التقريبي</w:t>
            </w:r>
          </w:p>
        </w:tc>
      </w:tr>
      <w:tr>
        <w:tc>
          <w:tcPr>
            <w:tcW w:type="dxa" w:w="1900"/>
            <w:vAlign w:val="center"/>
          </w:tcPr>
          <w:p>
            <w:pPr>
              <w:jc w:val="right"/>
              <w:bidi w:val="1"/>
            </w:pPr>
            <w:r>
              <w:rPr>
                <w:rFonts w:ascii="DejaVu Sans" w:hAnsi="DejaVu Sans" w:cs="DejaVu Sans"/>
                <w:b w:val="0"/>
                <w:color w:val="171A1F"/>
                <w:sz w:val="16"/>
              </w:rPr>
              <w:t>شريك راعٍ</w:t>
            </w:r>
          </w:p>
        </w:tc>
        <w:tc>
          <w:tcPr>
            <w:tcW w:type="dxa" w:w="4700"/>
            <w:vAlign w:val="center"/>
          </w:tcPr>
          <w:p>
            <w:pPr>
              <w:jc w:val="center"/>
              <w:bidi w:val="1"/>
            </w:pPr>
            <w:r>
              <w:rPr>
                <w:rFonts w:ascii="DejaVu Sans" w:hAnsi="DejaVu Sans" w:cs="DejaVu Sans"/>
                <w:b w:val="0"/>
                <w:color w:val="171A1F"/>
                <w:sz w:val="16"/>
              </w:rPr>
              <w:t>اختيار الأولويات واعتماد الرأي والمخاطر</w:t>
            </w:r>
          </w:p>
        </w:tc>
        <w:tc>
          <w:tcPr>
            <w:tcW w:type="dxa" w:w="2520"/>
            <w:vAlign w:val="center"/>
          </w:tcPr>
          <w:p>
            <w:pPr>
              <w:jc w:val="center"/>
              <w:bidi w:val="1"/>
            </w:pPr>
            <w:r>
              <w:rPr>
                <w:rFonts w:ascii="DejaVu Sans" w:hAnsi="DejaVu Sans" w:cs="DejaVu Sans"/>
                <w:b w:val="0"/>
                <w:color w:val="171A1F"/>
                <w:sz w:val="16"/>
              </w:rPr>
              <w:t>60–90 دقيقة</w:t>
            </w:r>
          </w:p>
        </w:tc>
      </w:tr>
      <w:tr>
        <w:tc>
          <w:tcPr>
            <w:tcW w:type="dxa" w:w="1900"/>
            <w:vAlign w:val="center"/>
            <w:shd w:fill="F7F8FA"/>
          </w:tcPr>
          <w:p>
            <w:pPr>
              <w:jc w:val="right"/>
              <w:bidi w:val="1"/>
            </w:pPr>
            <w:r>
              <w:rPr>
                <w:rFonts w:ascii="DejaVu Sans" w:hAnsi="DejaVu Sans" w:cs="DejaVu Sans"/>
                <w:b w:val="0"/>
                <w:color w:val="171A1F"/>
                <w:sz w:val="16"/>
              </w:rPr>
              <w:t>قائد تسويق</w:t>
            </w:r>
          </w:p>
        </w:tc>
        <w:tc>
          <w:tcPr>
            <w:tcW w:type="dxa" w:w="4700"/>
            <w:vAlign w:val="center"/>
            <w:shd w:fill="F7F8FA"/>
          </w:tcPr>
          <w:p>
            <w:pPr>
              <w:jc w:val="center"/>
              <w:bidi w:val="1"/>
            </w:pPr>
            <w:r>
              <w:rPr>
                <w:rFonts w:ascii="DejaVu Sans" w:hAnsi="DejaVu Sans" w:cs="DejaVu Sans"/>
                <w:b w:val="0"/>
                <w:color w:val="171A1F"/>
                <w:sz w:val="16"/>
              </w:rPr>
              <w:t>التقويم، التوزيع، القياس، التنسيق</w:t>
            </w:r>
          </w:p>
        </w:tc>
        <w:tc>
          <w:tcPr>
            <w:tcW w:type="dxa" w:w="2520"/>
            <w:vAlign w:val="center"/>
            <w:shd w:fill="F7F8FA"/>
          </w:tcPr>
          <w:p>
            <w:pPr>
              <w:jc w:val="center"/>
              <w:bidi w:val="1"/>
            </w:pPr>
            <w:r>
              <w:rPr>
                <w:rFonts w:ascii="DejaVu Sans" w:hAnsi="DejaVu Sans" w:cs="DejaVu Sans"/>
                <w:b w:val="0"/>
                <w:color w:val="171A1F"/>
                <w:sz w:val="16"/>
              </w:rPr>
              <w:t>8–12 ساعة</w:t>
            </w:r>
          </w:p>
        </w:tc>
      </w:tr>
      <w:tr>
        <w:tc>
          <w:tcPr>
            <w:tcW w:type="dxa" w:w="1900"/>
            <w:vAlign w:val="center"/>
          </w:tcPr>
          <w:p>
            <w:pPr>
              <w:jc w:val="right"/>
              <w:bidi w:val="1"/>
            </w:pPr>
            <w:r>
              <w:rPr>
                <w:rFonts w:ascii="DejaVu Sans" w:hAnsi="DejaVu Sans" w:cs="DejaVu Sans"/>
                <w:b w:val="0"/>
                <w:color w:val="171A1F"/>
                <w:sz w:val="16"/>
              </w:rPr>
              <w:t>محرر قانوني</w:t>
            </w:r>
          </w:p>
        </w:tc>
        <w:tc>
          <w:tcPr>
            <w:tcW w:type="dxa" w:w="4700"/>
            <w:vAlign w:val="center"/>
          </w:tcPr>
          <w:p>
            <w:pPr>
              <w:jc w:val="center"/>
              <w:bidi w:val="1"/>
            </w:pPr>
            <w:r>
              <w:rPr>
                <w:rFonts w:ascii="DejaVu Sans" w:hAnsi="DejaVu Sans" w:cs="DejaVu Sans"/>
                <w:b w:val="0"/>
                <w:color w:val="171A1F"/>
                <w:sz w:val="16"/>
              </w:rPr>
              <w:t>مقابلة الخبراء وصياغة الأصل والمشتقات</w:t>
            </w:r>
          </w:p>
        </w:tc>
        <w:tc>
          <w:tcPr>
            <w:tcW w:type="dxa" w:w="2520"/>
            <w:vAlign w:val="center"/>
          </w:tcPr>
          <w:p>
            <w:pPr>
              <w:jc w:val="center"/>
              <w:bidi w:val="1"/>
            </w:pPr>
            <w:r>
              <w:rPr>
                <w:rFonts w:ascii="DejaVu Sans" w:hAnsi="DejaVu Sans" w:cs="DejaVu Sans"/>
                <w:b w:val="0"/>
                <w:color w:val="171A1F"/>
                <w:sz w:val="16"/>
              </w:rPr>
              <w:t>6–10 ساعات</w:t>
            </w:r>
          </w:p>
        </w:tc>
      </w:tr>
      <w:tr>
        <w:tc>
          <w:tcPr>
            <w:tcW w:type="dxa" w:w="1900"/>
            <w:vAlign w:val="center"/>
            <w:shd w:fill="F7F8FA"/>
          </w:tcPr>
          <w:p>
            <w:pPr>
              <w:jc w:val="right"/>
              <w:bidi w:val="1"/>
            </w:pPr>
            <w:r>
              <w:rPr>
                <w:rFonts w:ascii="DejaVu Sans" w:hAnsi="DejaVu Sans" w:cs="DejaVu Sans"/>
                <w:b w:val="0"/>
                <w:color w:val="171A1F"/>
                <w:sz w:val="16"/>
              </w:rPr>
              <w:t>محامي موضوع</w:t>
            </w:r>
          </w:p>
        </w:tc>
        <w:tc>
          <w:tcPr>
            <w:tcW w:type="dxa" w:w="4700"/>
            <w:vAlign w:val="center"/>
            <w:shd w:fill="F7F8FA"/>
          </w:tcPr>
          <w:p>
            <w:pPr>
              <w:jc w:val="center"/>
              <w:bidi w:val="1"/>
            </w:pPr>
            <w:r>
              <w:rPr>
                <w:rFonts w:ascii="DejaVu Sans" w:hAnsi="DejaVu Sans" w:cs="DejaVu Sans"/>
                <w:b w:val="0"/>
                <w:color w:val="171A1F"/>
                <w:sz w:val="16"/>
              </w:rPr>
              <w:t>مذكرة نقاط + مراجعة فنية + ظهور</w:t>
            </w:r>
          </w:p>
        </w:tc>
        <w:tc>
          <w:tcPr>
            <w:tcW w:type="dxa" w:w="2520"/>
            <w:vAlign w:val="center"/>
            <w:shd w:fill="F7F8FA"/>
          </w:tcPr>
          <w:p>
            <w:pPr>
              <w:jc w:val="center"/>
              <w:bidi w:val="1"/>
            </w:pPr>
            <w:r>
              <w:rPr>
                <w:rFonts w:ascii="DejaVu Sans" w:hAnsi="DejaVu Sans" w:cs="DejaVu Sans"/>
                <w:b w:val="0"/>
                <w:color w:val="171A1F"/>
                <w:sz w:val="16"/>
              </w:rPr>
              <w:t>60–120 دقيقة</w:t>
            </w:r>
          </w:p>
        </w:tc>
      </w:tr>
      <w:tr>
        <w:tc>
          <w:tcPr>
            <w:tcW w:type="dxa" w:w="1900"/>
            <w:vAlign w:val="center"/>
          </w:tcPr>
          <w:p>
            <w:pPr>
              <w:jc w:val="right"/>
              <w:bidi w:val="1"/>
            </w:pPr>
            <w:r>
              <w:rPr>
                <w:rFonts w:ascii="DejaVu Sans" w:hAnsi="DejaVu Sans" w:cs="DejaVu Sans"/>
                <w:b w:val="0"/>
                <w:color w:val="171A1F"/>
                <w:sz w:val="16"/>
              </w:rPr>
              <w:t>مصمم/فيديو</w:t>
            </w:r>
          </w:p>
        </w:tc>
        <w:tc>
          <w:tcPr>
            <w:tcW w:type="dxa" w:w="4700"/>
            <w:vAlign w:val="center"/>
          </w:tcPr>
          <w:p>
            <w:pPr>
              <w:jc w:val="center"/>
              <w:bidi w:val="1"/>
            </w:pPr>
            <w:r>
              <w:rPr>
                <w:rFonts w:ascii="DejaVu Sans" w:hAnsi="DejaVu Sans" w:cs="DejaVu Sans"/>
                <w:b w:val="0"/>
                <w:color w:val="171A1F"/>
                <w:sz w:val="16"/>
              </w:rPr>
              <w:t>قوالب ثابتة وتصوير دفعي وتقطيع</w:t>
            </w:r>
          </w:p>
        </w:tc>
        <w:tc>
          <w:tcPr>
            <w:tcW w:type="dxa" w:w="2520"/>
            <w:vAlign w:val="center"/>
          </w:tcPr>
          <w:p>
            <w:pPr>
              <w:jc w:val="center"/>
              <w:bidi w:val="1"/>
            </w:pPr>
            <w:r>
              <w:rPr>
                <w:rFonts w:ascii="DejaVu Sans" w:hAnsi="DejaVu Sans" w:cs="DejaVu Sans"/>
                <w:b w:val="0"/>
                <w:color w:val="171A1F"/>
                <w:sz w:val="16"/>
              </w:rPr>
              <w:t>4–8 ساعات</w:t>
            </w:r>
          </w:p>
        </w:tc>
      </w:tr>
      <w:tr>
        <w:tc>
          <w:tcPr>
            <w:tcW w:type="dxa" w:w="1900"/>
            <w:vAlign w:val="center"/>
            <w:shd w:fill="F7F8FA"/>
          </w:tcPr>
          <w:p>
            <w:pPr>
              <w:jc w:val="right"/>
              <w:bidi w:val="1"/>
            </w:pPr>
            <w:r>
              <w:rPr>
                <w:rFonts w:ascii="DejaVu Sans" w:hAnsi="DejaVu Sans" w:cs="DejaVu Sans"/>
                <w:b w:val="0"/>
                <w:color w:val="171A1F"/>
                <w:sz w:val="16"/>
              </w:rPr>
              <w:t>علاقات عامة</w:t>
            </w:r>
          </w:p>
        </w:tc>
        <w:tc>
          <w:tcPr>
            <w:tcW w:type="dxa" w:w="4700"/>
            <w:vAlign w:val="center"/>
            <w:shd w:fill="F7F8FA"/>
          </w:tcPr>
          <w:p>
            <w:pPr>
              <w:jc w:val="center"/>
              <w:bidi w:val="1"/>
            </w:pPr>
            <w:r>
              <w:rPr>
                <w:rFonts w:ascii="DejaVu Sans" w:hAnsi="DejaVu Sans" w:cs="DejaVu Sans"/>
                <w:b w:val="0"/>
                <w:color w:val="171A1F"/>
                <w:sz w:val="16"/>
              </w:rPr>
              <w:t>فرص تعليق، قوائم صحفيين، متابعة</w:t>
            </w:r>
          </w:p>
        </w:tc>
        <w:tc>
          <w:tcPr>
            <w:tcW w:type="dxa" w:w="2520"/>
            <w:vAlign w:val="center"/>
            <w:shd w:fill="F7F8FA"/>
          </w:tcPr>
          <w:p>
            <w:pPr>
              <w:jc w:val="center"/>
              <w:bidi w:val="1"/>
            </w:pPr>
            <w:r>
              <w:rPr>
                <w:rFonts w:ascii="DejaVu Sans" w:hAnsi="DejaVu Sans" w:cs="DejaVu Sans"/>
                <w:b w:val="0"/>
                <w:color w:val="171A1F"/>
                <w:sz w:val="16"/>
              </w:rPr>
              <w:t>2–4 ساعات</w:t>
            </w:r>
          </w:p>
        </w:tc>
      </w:tr>
      <w:tr>
        <w:tc>
          <w:tcPr>
            <w:tcW w:type="dxa" w:w="1900"/>
            <w:vAlign w:val="center"/>
          </w:tcPr>
          <w:p>
            <w:pPr>
              <w:jc w:val="right"/>
              <w:bidi w:val="1"/>
            </w:pPr>
            <w:r>
              <w:rPr>
                <w:rFonts w:ascii="DejaVu Sans" w:hAnsi="DejaVu Sans" w:cs="DejaVu Sans"/>
                <w:b w:val="0"/>
                <w:color w:val="171A1F"/>
                <w:sz w:val="16"/>
              </w:rPr>
              <w:t>تطوير أعمال</w:t>
            </w:r>
          </w:p>
        </w:tc>
        <w:tc>
          <w:tcPr>
            <w:tcW w:type="dxa" w:w="4700"/>
            <w:vAlign w:val="center"/>
          </w:tcPr>
          <w:p>
            <w:pPr>
              <w:jc w:val="center"/>
              <w:bidi w:val="1"/>
            </w:pPr>
            <w:r>
              <w:rPr>
                <w:rFonts w:ascii="DejaVu Sans" w:hAnsi="DejaVu Sans" w:cs="DejaVu Sans"/>
                <w:b w:val="0"/>
                <w:color w:val="171A1F"/>
                <w:sz w:val="16"/>
              </w:rPr>
              <w:t>متابعة المسجلين والطلبات داخل CRM</w:t>
            </w:r>
          </w:p>
        </w:tc>
        <w:tc>
          <w:tcPr>
            <w:tcW w:type="dxa" w:w="2520"/>
            <w:vAlign w:val="center"/>
          </w:tcPr>
          <w:p>
            <w:pPr>
              <w:jc w:val="center"/>
              <w:bidi w:val="1"/>
            </w:pPr>
            <w:r>
              <w:rPr>
                <w:rFonts w:ascii="DejaVu Sans" w:hAnsi="DejaVu Sans" w:cs="DejaVu Sans"/>
                <w:b w:val="0"/>
                <w:color w:val="171A1F"/>
                <w:sz w:val="16"/>
              </w:rPr>
              <w:t>2–5 ساعات</w:t>
            </w:r>
          </w:p>
        </w:tc>
      </w:tr>
    </w:tbl>
    <w:p>
      <w:pPr>
        <w:spacing w:after="60"/>
      </w:pPr>
    </w:p>
    <w:p>
      <w:pPr>
        <w:pStyle w:val="Heading2"/>
        <w:jc w:val="right"/>
        <w:bidi w:val="1"/>
      </w:pPr>
      <w:r>
        <w:t>بوابة الاعتماد قبل النشر</w:t>
      </w:r>
    </w:p>
    <w:p>
      <w:pPr>
        <w:pStyle w:val="ListBullet"/>
        <w:spacing w:after="60"/>
        <w:jc w:val="right"/>
        <w:bidi w:val="1"/>
      </w:pPr>
      <w:r>
        <w:rPr>
          <w:rFonts w:ascii="DejaVu Sans" w:hAnsi="DejaVu Sans" w:cs="DejaVu Sans"/>
          <w:b w:val="0"/>
          <w:color w:val="171A1F"/>
          <w:sz w:val="19"/>
        </w:rPr>
        <w:t>هل المعلومة قانونية صحيحة وحديثة ومصدرها مثبت؟</w:t>
      </w:r>
    </w:p>
    <w:p>
      <w:pPr>
        <w:pStyle w:val="ListBullet"/>
        <w:spacing w:after="60"/>
        <w:jc w:val="right"/>
        <w:bidi w:val="1"/>
      </w:pPr>
      <w:r>
        <w:rPr>
          <w:rFonts w:ascii="DejaVu Sans" w:hAnsi="DejaVu Sans" w:cs="DejaVu Sans"/>
          <w:b w:val="0"/>
          <w:color w:val="171A1F"/>
          <w:sz w:val="19"/>
        </w:rPr>
        <w:t>هل تكشف عميلًا أو واقعة أو استراتيجية أو نتيجة سرية؟</w:t>
      </w:r>
    </w:p>
    <w:p>
      <w:pPr>
        <w:pStyle w:val="ListBullet"/>
        <w:spacing w:after="60"/>
        <w:jc w:val="right"/>
        <w:bidi w:val="1"/>
      </w:pPr>
      <w:r>
        <w:rPr>
          <w:rFonts w:ascii="DejaVu Sans" w:hAnsi="DejaVu Sans" w:cs="DejaVu Sans"/>
          <w:b w:val="0"/>
          <w:color w:val="171A1F"/>
          <w:sz w:val="19"/>
        </w:rPr>
        <w:t>هل تحتوي وعدًا بالنتيجة أو تضليلًا في الخبرة أو الصفة؟</w:t>
      </w:r>
    </w:p>
    <w:p>
      <w:pPr>
        <w:pStyle w:val="ListBullet"/>
        <w:spacing w:after="60"/>
        <w:jc w:val="right"/>
        <w:bidi w:val="1"/>
      </w:pPr>
      <w:r>
        <w:rPr>
          <w:rFonts w:ascii="DejaVu Sans" w:hAnsi="DejaVu Sans" w:cs="DejaVu Sans"/>
          <w:b w:val="0"/>
          <w:color w:val="171A1F"/>
          <w:sz w:val="19"/>
        </w:rPr>
        <w:t>هل تخدم جمهورًا وخدمة ومرحلة واضحة في رحلة العميل؟</w:t>
      </w:r>
    </w:p>
    <w:p>
      <w:pPr>
        <w:pStyle w:val="ListBullet"/>
        <w:spacing w:after="60"/>
        <w:jc w:val="right"/>
        <w:bidi w:val="1"/>
      </w:pPr>
      <w:r>
        <w:rPr>
          <w:rFonts w:ascii="DejaVu Sans" w:hAnsi="DejaVu Sans" w:cs="DejaVu Sans"/>
          <w:b w:val="0"/>
          <w:color w:val="171A1F"/>
          <w:sz w:val="19"/>
        </w:rPr>
        <w:t>هل لها دعوة إجراء ورابط قابل للقياس ومالك متابعة؟</w:t>
      </w:r>
    </w:p>
    <w:p>
      <w:pPr>
        <w:spacing w:before="0" w:after="120" w:line="283" w:lineRule="auto"/>
        <w:jc w:val="right"/>
        <w:bidi w:val="1"/>
      </w:pPr>
      <w:r>
        <w:rPr>
          <w:rFonts w:ascii="DejaVu Sans" w:hAnsi="DejaVu Sans" w:cs="DejaVu Sans"/>
          <w:b w:val="0"/>
          <w:color w:val="5E6672"/>
          <w:sz w:val="15"/>
        </w:rPr>
        <w:t>المصادر: [1]، [2]</w:t>
      </w:r>
    </w:p>
    <w:p>
      <w:r>
        <w:br w:type="page"/>
      </w:r>
    </w:p>
    <w:p>
      <w:pPr>
        <w:pStyle w:val="Heading1"/>
        <w:jc w:val="right"/>
        <w:bidi w:val="1"/>
      </w:pPr>
      <w:r>
        <w:t>10. لوحة القياس التي تُعرض شهريًا</w:t>
      </w:r>
    </w:p>
    <w:p>
      <w:pPr>
        <w:spacing w:before="0" w:after="100" w:line="283" w:lineRule="auto"/>
        <w:jc w:val="right"/>
        <w:bidi w:val="1"/>
      </w:pPr>
      <w:r>
        <w:rPr>
          <w:rFonts w:ascii="DejaVu Sans" w:hAnsi="DejaVu Sans" w:cs="DejaVu Sans"/>
          <w:b w:val="0"/>
          <w:color w:val="171A1F"/>
          <w:sz w:val="20"/>
        </w:rPr>
        <w:t>يجب فصل مؤشرات «الانتشار» عن «الطلب» و«الإيراد». التقرير الذي يعرض المتابعين والإعجابات فقط لا يثبت جدوى إعلامية.</w:t>
      </w:r>
    </w:p>
    <w:tbl>
      <w:tblPr>
        <w:tblStyle w:val="TableGrid"/>
        <w:tblW w:type="dxa" w:w="9120"/>
        <w:jc w:val="center"/>
        <w:tblLayout w:type="fixed"/>
        <w:tblLook w:firstColumn="1" w:firstRow="1" w:lastColumn="0" w:lastRow="0" w:noHBand="0" w:noVBand="1" w:val="04A0"/>
        <w:tblInd w:w="120" w:type="dxa"/>
      </w:tblPr>
      <w:tblGrid>
        <w:gridCol w:w="1300"/>
        <w:gridCol w:w="4200"/>
        <w:gridCol w:w="3620"/>
      </w:tblGrid>
      <w:tr>
        <w:trPr>
          <w:tblHeader/>
        </w:trPr>
        <w:tc>
          <w:tcPr>
            <w:tcW w:type="dxa" w:w="130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6"/>
              </w:rPr>
              <w:t>الطبقة</w:t>
            </w:r>
          </w:p>
        </w:tc>
        <w:tc>
          <w:tcPr>
            <w:tcW w:type="dxa" w:w="420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6"/>
              </w:rPr>
              <w:t>المؤشرات</w:t>
            </w:r>
          </w:p>
        </w:tc>
        <w:tc>
          <w:tcPr>
            <w:tcW w:type="dxa" w:w="362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6"/>
              </w:rPr>
              <w:t>الصيغة</w:t>
            </w:r>
          </w:p>
        </w:tc>
      </w:tr>
      <w:tr>
        <w:tc>
          <w:tcPr>
            <w:tcW w:type="dxa" w:w="1300"/>
            <w:vAlign w:val="center"/>
          </w:tcPr>
          <w:p>
            <w:pPr>
              <w:jc w:val="right"/>
              <w:bidi w:val="1"/>
            </w:pPr>
            <w:r>
              <w:rPr>
                <w:rFonts w:ascii="DejaVu Sans" w:hAnsi="DejaVu Sans" w:cs="DejaVu Sans"/>
                <w:b w:val="0"/>
                <w:color w:val="171A1F"/>
                <w:sz w:val="16"/>
              </w:rPr>
              <w:t>الوصول</w:t>
            </w:r>
          </w:p>
        </w:tc>
        <w:tc>
          <w:tcPr>
            <w:tcW w:type="dxa" w:w="4200"/>
            <w:vAlign w:val="center"/>
          </w:tcPr>
          <w:p>
            <w:pPr>
              <w:jc w:val="center"/>
              <w:bidi w:val="1"/>
            </w:pPr>
            <w:r>
              <w:rPr>
                <w:rFonts w:ascii="DejaVu Sans" w:hAnsi="DejaVu Sans" w:cs="DejaVu Sans"/>
                <w:b w:val="0"/>
                <w:color w:val="171A1F"/>
                <w:sz w:val="16"/>
              </w:rPr>
              <w:t>وصول مستهدف، نمو متابعين، ظهور أسماء الخبراء</w:t>
            </w:r>
          </w:p>
        </w:tc>
        <w:tc>
          <w:tcPr>
            <w:tcW w:type="dxa" w:w="3620"/>
            <w:vAlign w:val="center"/>
          </w:tcPr>
          <w:p>
            <w:pPr>
              <w:jc w:val="center"/>
              <w:bidi w:val="1"/>
            </w:pPr>
            <w:r>
              <w:rPr>
                <w:rFonts w:ascii="DejaVu Sans" w:hAnsi="DejaVu Sans" w:cs="DejaVu Sans"/>
                <w:b w:val="0"/>
                <w:color w:val="171A1F"/>
                <w:sz w:val="16"/>
              </w:rPr>
              <w:t>الجمهور داخل القطاعات المستهدفة، لا الإجمالي فقط</w:t>
            </w:r>
          </w:p>
        </w:tc>
      </w:tr>
      <w:tr>
        <w:tc>
          <w:tcPr>
            <w:tcW w:type="dxa" w:w="1300"/>
            <w:vAlign w:val="center"/>
            <w:shd w:fill="F7F8FA"/>
          </w:tcPr>
          <w:p>
            <w:pPr>
              <w:jc w:val="right"/>
              <w:bidi w:val="1"/>
            </w:pPr>
            <w:r>
              <w:rPr>
                <w:rFonts w:ascii="DejaVu Sans" w:hAnsi="DejaVu Sans" w:cs="DejaVu Sans"/>
                <w:b w:val="0"/>
                <w:color w:val="171A1F"/>
                <w:sz w:val="16"/>
              </w:rPr>
              <w:t>الجودة</w:t>
            </w:r>
          </w:p>
        </w:tc>
        <w:tc>
          <w:tcPr>
            <w:tcW w:type="dxa" w:w="4200"/>
            <w:vAlign w:val="center"/>
            <w:shd w:fill="F7F8FA"/>
          </w:tcPr>
          <w:p>
            <w:pPr>
              <w:jc w:val="center"/>
              <w:bidi w:val="1"/>
            </w:pPr>
            <w:r>
              <w:rPr>
                <w:rFonts w:ascii="DejaVu Sans" w:hAnsi="DejaVu Sans" w:cs="DejaVu Sans"/>
                <w:b w:val="0"/>
                <w:color w:val="171A1F"/>
                <w:sz w:val="16"/>
              </w:rPr>
              <w:t>حفظ، مشاركة، تعليق من صانع قرار، وقت مشاهدة</w:t>
            </w:r>
          </w:p>
        </w:tc>
        <w:tc>
          <w:tcPr>
            <w:tcW w:type="dxa" w:w="3620"/>
            <w:vAlign w:val="center"/>
            <w:shd w:fill="F7F8FA"/>
          </w:tcPr>
          <w:p>
            <w:pPr>
              <w:jc w:val="center"/>
              <w:bidi w:val="1"/>
            </w:pPr>
            <w:r>
              <w:rPr>
                <w:rFonts w:ascii="DejaVu Sans" w:hAnsi="DejaVu Sans" w:cs="DejaVu Sans"/>
                <w:b w:val="0"/>
                <w:color w:val="171A1F"/>
                <w:sz w:val="16"/>
              </w:rPr>
              <w:t>(حفظ + مشاركة + تعليقات نوعية) ÷ الوصول</w:t>
            </w:r>
          </w:p>
        </w:tc>
      </w:tr>
      <w:tr>
        <w:tc>
          <w:tcPr>
            <w:tcW w:type="dxa" w:w="1300"/>
            <w:vAlign w:val="center"/>
          </w:tcPr>
          <w:p>
            <w:pPr>
              <w:jc w:val="right"/>
              <w:bidi w:val="1"/>
            </w:pPr>
            <w:r>
              <w:rPr>
                <w:rFonts w:ascii="DejaVu Sans" w:hAnsi="DejaVu Sans" w:cs="DejaVu Sans"/>
                <w:b w:val="0"/>
                <w:color w:val="171A1F"/>
                <w:sz w:val="16"/>
              </w:rPr>
              <w:t>الملكية</w:t>
            </w:r>
          </w:p>
        </w:tc>
        <w:tc>
          <w:tcPr>
            <w:tcW w:type="dxa" w:w="4200"/>
            <w:vAlign w:val="center"/>
          </w:tcPr>
          <w:p>
            <w:pPr>
              <w:jc w:val="center"/>
              <w:bidi w:val="1"/>
            </w:pPr>
            <w:r>
              <w:rPr>
                <w:rFonts w:ascii="DejaVu Sans" w:hAnsi="DejaVu Sans" w:cs="DejaVu Sans"/>
                <w:b w:val="0"/>
                <w:color w:val="171A1F"/>
                <w:sz w:val="16"/>
              </w:rPr>
              <w:t>مشتركو النشرة، تنزيلات، حضور إحاطة</w:t>
            </w:r>
          </w:p>
        </w:tc>
        <w:tc>
          <w:tcPr>
            <w:tcW w:type="dxa" w:w="3620"/>
            <w:vAlign w:val="center"/>
          </w:tcPr>
          <w:p>
            <w:pPr>
              <w:jc w:val="center"/>
              <w:bidi w:val="1"/>
            </w:pPr>
            <w:r>
              <w:rPr>
                <w:rFonts w:ascii="DejaVu Sans" w:hAnsi="DejaVu Sans" w:cs="DejaVu Sans"/>
                <w:b w:val="0"/>
                <w:color w:val="171A1F"/>
                <w:sz w:val="16"/>
              </w:rPr>
              <w:t>المشتركون الجدد المؤهلون شهريًا</w:t>
            </w:r>
          </w:p>
        </w:tc>
      </w:tr>
      <w:tr>
        <w:tc>
          <w:tcPr>
            <w:tcW w:type="dxa" w:w="1300"/>
            <w:vAlign w:val="center"/>
            <w:shd w:fill="F7F8FA"/>
          </w:tcPr>
          <w:p>
            <w:pPr>
              <w:jc w:val="right"/>
              <w:bidi w:val="1"/>
            </w:pPr>
            <w:r>
              <w:rPr>
                <w:rFonts w:ascii="DejaVu Sans" w:hAnsi="DejaVu Sans" w:cs="DejaVu Sans"/>
                <w:b w:val="0"/>
                <w:color w:val="171A1F"/>
                <w:sz w:val="16"/>
              </w:rPr>
              <w:t>الطلب</w:t>
            </w:r>
          </w:p>
        </w:tc>
        <w:tc>
          <w:tcPr>
            <w:tcW w:type="dxa" w:w="4200"/>
            <w:vAlign w:val="center"/>
            <w:shd w:fill="F7F8FA"/>
          </w:tcPr>
          <w:p>
            <w:pPr>
              <w:jc w:val="center"/>
              <w:bidi w:val="1"/>
            </w:pPr>
            <w:r>
              <w:rPr>
                <w:rFonts w:ascii="DejaVu Sans" w:hAnsi="DejaVu Sans" w:cs="DejaVu Sans"/>
                <w:b w:val="0"/>
                <w:color w:val="171A1F"/>
                <w:sz w:val="16"/>
              </w:rPr>
              <w:t>طلبات تواصل، ردود بريد، دعوات عروض، إحالات</w:t>
            </w:r>
          </w:p>
        </w:tc>
        <w:tc>
          <w:tcPr>
            <w:tcW w:type="dxa" w:w="3620"/>
            <w:vAlign w:val="center"/>
            <w:shd w:fill="F7F8FA"/>
          </w:tcPr>
          <w:p>
            <w:pPr>
              <w:jc w:val="center"/>
              <w:bidi w:val="1"/>
            </w:pPr>
            <w:r>
              <w:rPr>
                <w:rFonts w:ascii="DejaVu Sans" w:hAnsi="DejaVu Sans" w:cs="DejaVu Sans"/>
                <w:b w:val="0"/>
                <w:color w:val="171A1F"/>
                <w:sz w:val="16"/>
              </w:rPr>
              <w:t>MQL ثم SQL وفق تعريف متفق عليه</w:t>
            </w:r>
          </w:p>
        </w:tc>
      </w:tr>
      <w:tr>
        <w:tc>
          <w:tcPr>
            <w:tcW w:type="dxa" w:w="1300"/>
            <w:vAlign w:val="center"/>
          </w:tcPr>
          <w:p>
            <w:pPr>
              <w:jc w:val="right"/>
              <w:bidi w:val="1"/>
            </w:pPr>
            <w:r>
              <w:rPr>
                <w:rFonts w:ascii="DejaVu Sans" w:hAnsi="DejaVu Sans" w:cs="DejaVu Sans"/>
                <w:b w:val="0"/>
                <w:color w:val="171A1F"/>
                <w:sz w:val="16"/>
              </w:rPr>
              <w:t>التجاري</w:t>
            </w:r>
          </w:p>
        </w:tc>
        <w:tc>
          <w:tcPr>
            <w:tcW w:type="dxa" w:w="4200"/>
            <w:vAlign w:val="center"/>
          </w:tcPr>
          <w:p>
            <w:pPr>
              <w:jc w:val="center"/>
              <w:bidi w:val="1"/>
            </w:pPr>
            <w:r>
              <w:rPr>
                <w:rFonts w:ascii="DejaVu Sans" w:hAnsi="DejaVu Sans" w:cs="DejaVu Sans"/>
                <w:b w:val="0"/>
                <w:color w:val="171A1F"/>
                <w:sz w:val="16"/>
              </w:rPr>
              <w:t>فرص، قيمة خط أنابيب، عقود من التسويق</w:t>
            </w:r>
          </w:p>
        </w:tc>
        <w:tc>
          <w:tcPr>
            <w:tcW w:type="dxa" w:w="3620"/>
            <w:vAlign w:val="center"/>
          </w:tcPr>
          <w:p>
            <w:pPr>
              <w:jc w:val="center"/>
              <w:bidi w:val="1"/>
            </w:pPr>
            <w:r>
              <w:rPr>
                <w:rFonts w:ascii="DejaVu Sans" w:hAnsi="DejaVu Sans" w:cs="DejaVu Sans"/>
                <w:b w:val="0"/>
                <w:color w:val="171A1F"/>
                <w:sz w:val="16"/>
              </w:rPr>
              <w:t>القيمة المنسوبة والمساعدة لكل قناة</w:t>
            </w:r>
          </w:p>
        </w:tc>
      </w:tr>
      <w:tr>
        <w:tc>
          <w:tcPr>
            <w:tcW w:type="dxa" w:w="1300"/>
            <w:vAlign w:val="center"/>
            <w:shd w:fill="F7F8FA"/>
          </w:tcPr>
          <w:p>
            <w:pPr>
              <w:jc w:val="right"/>
              <w:bidi w:val="1"/>
            </w:pPr>
            <w:r>
              <w:rPr>
                <w:rFonts w:ascii="DejaVu Sans" w:hAnsi="DejaVu Sans" w:cs="DejaVu Sans"/>
                <w:b w:val="0"/>
                <w:color w:val="171A1F"/>
                <w:sz w:val="16"/>
              </w:rPr>
              <w:t>الكفاءة</w:t>
            </w:r>
          </w:p>
        </w:tc>
        <w:tc>
          <w:tcPr>
            <w:tcW w:type="dxa" w:w="4200"/>
            <w:vAlign w:val="center"/>
            <w:shd w:fill="F7F8FA"/>
          </w:tcPr>
          <w:p>
            <w:pPr>
              <w:jc w:val="center"/>
              <w:bidi w:val="1"/>
            </w:pPr>
            <w:r>
              <w:rPr>
                <w:rFonts w:ascii="DejaVu Sans" w:hAnsi="DejaVu Sans" w:cs="DejaVu Sans"/>
                <w:b w:val="0"/>
                <w:color w:val="171A1F"/>
                <w:sz w:val="16"/>
              </w:rPr>
              <w:t>زمن إنتاج الأصل، تكلفة فرصة مؤهلة</w:t>
            </w:r>
          </w:p>
        </w:tc>
        <w:tc>
          <w:tcPr>
            <w:tcW w:type="dxa" w:w="3620"/>
            <w:vAlign w:val="center"/>
            <w:shd w:fill="F7F8FA"/>
          </w:tcPr>
          <w:p>
            <w:pPr>
              <w:jc w:val="center"/>
              <w:bidi w:val="1"/>
            </w:pPr>
            <w:r>
              <w:rPr>
                <w:rFonts w:ascii="DejaVu Sans" w:hAnsi="DejaVu Sans" w:cs="DejaVu Sans"/>
                <w:b w:val="0"/>
                <w:color w:val="171A1F"/>
                <w:sz w:val="16"/>
              </w:rPr>
              <w:t>تكلفة البرنامج ÷ SQL؛ ساعات ÷ أصل</w:t>
            </w:r>
          </w:p>
        </w:tc>
      </w:tr>
    </w:tbl>
    <w:p>
      <w:pPr>
        <w:spacing w:after="60"/>
      </w:pPr>
    </w:p>
    <w:p>
      <w:pPr>
        <w:pStyle w:val="Heading2"/>
        <w:jc w:val="right"/>
        <w:bidi w:val="1"/>
      </w:pPr>
      <w:r>
        <w:t>أهداف أول 90 يومًا – تُثبت بعد خط الأساس</w:t>
      </w:r>
    </w:p>
    <w:tbl>
      <w:tblPr>
        <w:tblStyle w:val="TableGrid"/>
        <w:tblW w:type="dxa" w:w="9120"/>
        <w:jc w:val="center"/>
        <w:tblLayout w:type="fixed"/>
        <w:tblLook w:firstColumn="1" w:firstRow="1" w:lastColumn="0" w:lastRow="0" w:noHBand="0" w:noVBand="1" w:val="04A0"/>
        <w:tblInd w:w="120" w:type="dxa"/>
      </w:tblPr>
      <w:tblGrid>
        <w:gridCol w:w="3000"/>
        <w:gridCol w:w="2200"/>
        <w:gridCol w:w="3920"/>
      </w:tblGrid>
      <w:tr>
        <w:trPr>
          <w:tblHeader/>
        </w:trPr>
        <w:tc>
          <w:tcPr>
            <w:tcW w:type="dxa" w:w="300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6"/>
              </w:rPr>
              <w:t>المؤشر</w:t>
            </w:r>
          </w:p>
        </w:tc>
        <w:tc>
          <w:tcPr>
            <w:tcW w:type="dxa" w:w="220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6"/>
              </w:rPr>
              <w:t>هدف واقعي أولي</w:t>
            </w:r>
          </w:p>
        </w:tc>
        <w:tc>
          <w:tcPr>
            <w:tcW w:type="dxa" w:w="392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6"/>
              </w:rPr>
              <w:t>شرط القراءة</w:t>
            </w:r>
          </w:p>
        </w:tc>
      </w:tr>
      <w:tr>
        <w:tc>
          <w:tcPr>
            <w:tcW w:type="dxa" w:w="3000"/>
            <w:vAlign w:val="center"/>
          </w:tcPr>
          <w:p>
            <w:pPr>
              <w:jc w:val="right"/>
              <w:bidi w:val="1"/>
            </w:pPr>
            <w:r>
              <w:rPr>
                <w:rFonts w:ascii="DejaVu Sans" w:hAnsi="DejaVu Sans" w:cs="DejaVu Sans"/>
                <w:b w:val="0"/>
                <w:color w:val="171A1F"/>
                <w:sz w:val="16"/>
              </w:rPr>
              <w:t>نسبة اكتمال صفحات المحامين</w:t>
            </w:r>
          </w:p>
        </w:tc>
        <w:tc>
          <w:tcPr>
            <w:tcW w:type="dxa" w:w="2200"/>
            <w:vAlign w:val="center"/>
          </w:tcPr>
          <w:p>
            <w:pPr>
              <w:jc w:val="center"/>
              <w:bidi w:val="1"/>
            </w:pPr>
            <w:r>
              <w:rPr>
                <w:rFonts w:ascii="DejaVu Sans" w:hAnsi="DejaVu Sans" w:cs="DejaVu Sans"/>
                <w:b w:val="0"/>
                <w:color w:val="171A1F"/>
                <w:sz w:val="16"/>
              </w:rPr>
              <w:t>100%</w:t>
            </w:r>
          </w:p>
        </w:tc>
        <w:tc>
          <w:tcPr>
            <w:tcW w:type="dxa" w:w="3920"/>
            <w:vAlign w:val="center"/>
          </w:tcPr>
          <w:p>
            <w:pPr>
              <w:jc w:val="center"/>
              <w:bidi w:val="1"/>
            </w:pPr>
            <w:r>
              <w:rPr>
                <w:rFonts w:ascii="DejaVu Sans" w:hAnsi="DejaVu Sans" w:cs="DejaVu Sans"/>
                <w:b w:val="0"/>
                <w:color w:val="171A1F"/>
                <w:sz w:val="16"/>
              </w:rPr>
              <w:t>الصورة، المسمى، الخبرة، القطاعات، النبذة، الرابط</w:t>
            </w:r>
          </w:p>
        </w:tc>
      </w:tr>
      <w:tr>
        <w:tc>
          <w:tcPr>
            <w:tcW w:type="dxa" w:w="3000"/>
            <w:vAlign w:val="center"/>
            <w:shd w:fill="F7F8FA"/>
          </w:tcPr>
          <w:p>
            <w:pPr>
              <w:jc w:val="right"/>
              <w:bidi w:val="1"/>
            </w:pPr>
            <w:r>
              <w:rPr>
                <w:rFonts w:ascii="DejaVu Sans" w:hAnsi="DejaVu Sans" w:cs="DejaVu Sans"/>
                <w:b w:val="0"/>
                <w:color w:val="171A1F"/>
                <w:sz w:val="16"/>
              </w:rPr>
              <w:t>التزام النشر</w:t>
            </w:r>
          </w:p>
        </w:tc>
        <w:tc>
          <w:tcPr>
            <w:tcW w:type="dxa" w:w="2200"/>
            <w:vAlign w:val="center"/>
            <w:shd w:fill="F7F8FA"/>
          </w:tcPr>
          <w:p>
            <w:pPr>
              <w:jc w:val="center"/>
              <w:bidi w:val="1"/>
            </w:pPr>
            <w:r>
              <w:rPr>
                <w:rFonts w:ascii="DejaVu Sans" w:hAnsi="DejaVu Sans" w:cs="DejaVu Sans"/>
                <w:b w:val="0"/>
                <w:color w:val="171A1F"/>
                <w:sz w:val="16"/>
              </w:rPr>
              <w:t>≥90%</w:t>
            </w:r>
          </w:p>
        </w:tc>
        <w:tc>
          <w:tcPr>
            <w:tcW w:type="dxa" w:w="3920"/>
            <w:vAlign w:val="center"/>
            <w:shd w:fill="F7F8FA"/>
          </w:tcPr>
          <w:p>
            <w:pPr>
              <w:jc w:val="center"/>
              <w:bidi w:val="1"/>
            </w:pPr>
            <w:r>
              <w:rPr>
                <w:rFonts w:ascii="DejaVu Sans" w:hAnsi="DejaVu Sans" w:cs="DejaVu Sans"/>
                <w:b w:val="0"/>
                <w:color w:val="171A1F"/>
                <w:sz w:val="16"/>
              </w:rPr>
              <w:t>من الخطة المعتمدة لا المنشورات الطارئة</w:t>
            </w:r>
          </w:p>
        </w:tc>
      </w:tr>
      <w:tr>
        <w:tc>
          <w:tcPr>
            <w:tcW w:type="dxa" w:w="3000"/>
            <w:vAlign w:val="center"/>
          </w:tcPr>
          <w:p>
            <w:pPr>
              <w:jc w:val="right"/>
              <w:bidi w:val="1"/>
            </w:pPr>
            <w:r>
              <w:rPr>
                <w:rFonts w:ascii="DejaVu Sans" w:hAnsi="DejaVu Sans" w:cs="DejaVu Sans"/>
                <w:b w:val="0"/>
                <w:color w:val="171A1F"/>
                <w:sz w:val="16"/>
              </w:rPr>
              <w:t>معدل التفاعل النوعي</w:t>
            </w:r>
          </w:p>
        </w:tc>
        <w:tc>
          <w:tcPr>
            <w:tcW w:type="dxa" w:w="2200"/>
            <w:vAlign w:val="center"/>
          </w:tcPr>
          <w:p>
            <w:pPr>
              <w:jc w:val="center"/>
              <w:bidi w:val="1"/>
            </w:pPr>
            <w:r>
              <w:rPr>
                <w:rFonts w:ascii="DejaVu Sans" w:hAnsi="DejaVu Sans" w:cs="DejaVu Sans"/>
                <w:b w:val="0"/>
                <w:color w:val="171A1F"/>
                <w:sz w:val="16"/>
              </w:rPr>
              <w:t>≥1.5%</w:t>
            </w:r>
          </w:p>
        </w:tc>
        <w:tc>
          <w:tcPr>
            <w:tcW w:type="dxa" w:w="3920"/>
            <w:vAlign w:val="center"/>
          </w:tcPr>
          <w:p>
            <w:pPr>
              <w:jc w:val="center"/>
              <w:bidi w:val="1"/>
            </w:pPr>
            <w:r>
              <w:rPr>
                <w:rFonts w:ascii="DejaVu Sans" w:hAnsi="DejaVu Sans" w:cs="DejaVu Sans"/>
                <w:b w:val="0"/>
                <w:color w:val="171A1F"/>
                <w:sz w:val="16"/>
              </w:rPr>
              <w:t>حفظ + مشاركة + تعليق نوعي ÷ الوصول</w:t>
            </w:r>
          </w:p>
        </w:tc>
      </w:tr>
      <w:tr>
        <w:tc>
          <w:tcPr>
            <w:tcW w:type="dxa" w:w="3000"/>
            <w:vAlign w:val="center"/>
            <w:shd w:fill="F7F8FA"/>
          </w:tcPr>
          <w:p>
            <w:pPr>
              <w:jc w:val="right"/>
              <w:bidi w:val="1"/>
            </w:pPr>
            <w:r>
              <w:rPr>
                <w:rFonts w:ascii="DejaVu Sans" w:hAnsi="DejaVu Sans" w:cs="DejaVu Sans"/>
                <w:b w:val="0"/>
                <w:color w:val="171A1F"/>
                <w:sz w:val="16"/>
              </w:rPr>
              <w:t>تحويل صفحة الندوة</w:t>
            </w:r>
          </w:p>
        </w:tc>
        <w:tc>
          <w:tcPr>
            <w:tcW w:type="dxa" w:w="2200"/>
            <w:vAlign w:val="center"/>
            <w:shd w:fill="F7F8FA"/>
          </w:tcPr>
          <w:p>
            <w:pPr>
              <w:jc w:val="center"/>
              <w:bidi w:val="1"/>
            </w:pPr>
            <w:r>
              <w:rPr>
                <w:rFonts w:ascii="DejaVu Sans" w:hAnsi="DejaVu Sans" w:cs="DejaVu Sans"/>
                <w:b w:val="0"/>
                <w:color w:val="171A1F"/>
                <w:sz w:val="16"/>
              </w:rPr>
              <w:t>≥8%</w:t>
            </w:r>
          </w:p>
        </w:tc>
        <w:tc>
          <w:tcPr>
            <w:tcW w:type="dxa" w:w="3920"/>
            <w:vAlign w:val="center"/>
            <w:shd w:fill="F7F8FA"/>
          </w:tcPr>
          <w:p>
            <w:pPr>
              <w:jc w:val="center"/>
              <w:bidi w:val="1"/>
            </w:pPr>
            <w:r>
              <w:rPr>
                <w:rFonts w:ascii="DejaVu Sans" w:hAnsi="DejaVu Sans" w:cs="DejaVu Sans"/>
                <w:b w:val="0"/>
                <w:color w:val="171A1F"/>
                <w:sz w:val="16"/>
              </w:rPr>
              <w:t>مسجلون ÷ زوار الصفحة</w:t>
            </w:r>
          </w:p>
        </w:tc>
      </w:tr>
      <w:tr>
        <w:tc>
          <w:tcPr>
            <w:tcW w:type="dxa" w:w="3000"/>
            <w:vAlign w:val="center"/>
          </w:tcPr>
          <w:p>
            <w:pPr>
              <w:jc w:val="right"/>
              <w:bidi w:val="1"/>
            </w:pPr>
            <w:r>
              <w:rPr>
                <w:rFonts w:ascii="DejaVu Sans" w:hAnsi="DejaVu Sans" w:cs="DejaVu Sans"/>
                <w:b w:val="0"/>
                <w:color w:val="171A1F"/>
                <w:sz w:val="16"/>
              </w:rPr>
              <w:t>حضور المسجلين</w:t>
            </w:r>
          </w:p>
        </w:tc>
        <w:tc>
          <w:tcPr>
            <w:tcW w:type="dxa" w:w="2200"/>
            <w:vAlign w:val="center"/>
          </w:tcPr>
          <w:p>
            <w:pPr>
              <w:jc w:val="center"/>
              <w:bidi w:val="1"/>
            </w:pPr>
            <w:r>
              <w:rPr>
                <w:rFonts w:ascii="DejaVu Sans" w:hAnsi="DejaVu Sans" w:cs="DejaVu Sans"/>
                <w:b w:val="0"/>
                <w:color w:val="171A1F"/>
                <w:sz w:val="16"/>
              </w:rPr>
              <w:t>≥45%</w:t>
            </w:r>
          </w:p>
        </w:tc>
        <w:tc>
          <w:tcPr>
            <w:tcW w:type="dxa" w:w="3920"/>
            <w:vAlign w:val="center"/>
          </w:tcPr>
          <w:p>
            <w:pPr>
              <w:jc w:val="center"/>
              <w:bidi w:val="1"/>
            </w:pPr>
            <w:r>
              <w:rPr>
                <w:rFonts w:ascii="DejaVu Sans" w:hAnsi="DejaVu Sans" w:cs="DejaVu Sans"/>
                <w:b w:val="0"/>
                <w:color w:val="171A1F"/>
                <w:sz w:val="16"/>
              </w:rPr>
              <w:t>مع تذكيرين وبريد متابعة</w:t>
            </w:r>
          </w:p>
        </w:tc>
      </w:tr>
      <w:tr>
        <w:tc>
          <w:tcPr>
            <w:tcW w:type="dxa" w:w="3000"/>
            <w:vAlign w:val="center"/>
            <w:shd w:fill="F7F8FA"/>
          </w:tcPr>
          <w:p>
            <w:pPr>
              <w:jc w:val="right"/>
              <w:bidi w:val="1"/>
            </w:pPr>
            <w:r>
              <w:rPr>
                <w:rFonts w:ascii="DejaVu Sans" w:hAnsi="DejaVu Sans" w:cs="DejaVu Sans"/>
                <w:b w:val="0"/>
                <w:color w:val="171A1F"/>
                <w:sz w:val="16"/>
              </w:rPr>
              <w:t>طلبات مؤهلة من المحتوى</w:t>
            </w:r>
          </w:p>
        </w:tc>
        <w:tc>
          <w:tcPr>
            <w:tcW w:type="dxa" w:w="2200"/>
            <w:vAlign w:val="center"/>
            <w:shd w:fill="F7F8FA"/>
          </w:tcPr>
          <w:p>
            <w:pPr>
              <w:jc w:val="center"/>
              <w:bidi w:val="1"/>
            </w:pPr>
            <w:r>
              <w:rPr>
                <w:rFonts w:ascii="DejaVu Sans" w:hAnsi="DejaVu Sans" w:cs="DejaVu Sans"/>
                <w:b w:val="0"/>
                <w:color w:val="171A1F"/>
                <w:sz w:val="16"/>
              </w:rPr>
              <w:t>3–8</w:t>
            </w:r>
          </w:p>
        </w:tc>
        <w:tc>
          <w:tcPr>
            <w:tcW w:type="dxa" w:w="3920"/>
            <w:vAlign w:val="center"/>
            <w:shd w:fill="F7F8FA"/>
          </w:tcPr>
          <w:p>
            <w:pPr>
              <w:jc w:val="center"/>
              <w:bidi w:val="1"/>
            </w:pPr>
            <w:r>
              <w:rPr>
                <w:rFonts w:ascii="DejaVu Sans" w:hAnsi="DejaVu Sans" w:cs="DejaVu Sans"/>
                <w:b w:val="0"/>
                <w:color w:val="171A1F"/>
                <w:sz w:val="16"/>
              </w:rPr>
              <w:t>يعتمد على خط الأساس وحجم الجمهور</w:t>
            </w:r>
          </w:p>
        </w:tc>
      </w:tr>
      <w:tr>
        <w:tc>
          <w:tcPr>
            <w:tcW w:type="dxa" w:w="3000"/>
            <w:vAlign w:val="center"/>
          </w:tcPr>
          <w:p>
            <w:pPr>
              <w:jc w:val="right"/>
              <w:bidi w:val="1"/>
            </w:pPr>
            <w:r>
              <w:rPr>
                <w:rFonts w:ascii="DejaVu Sans" w:hAnsi="DejaVu Sans" w:cs="DejaVu Sans"/>
                <w:b w:val="0"/>
                <w:color w:val="171A1F"/>
                <w:sz w:val="16"/>
              </w:rPr>
              <w:t>توثيق مصدر العملاء</w:t>
            </w:r>
          </w:p>
        </w:tc>
        <w:tc>
          <w:tcPr>
            <w:tcW w:type="dxa" w:w="2200"/>
            <w:vAlign w:val="center"/>
          </w:tcPr>
          <w:p>
            <w:pPr>
              <w:jc w:val="center"/>
              <w:bidi w:val="1"/>
            </w:pPr>
            <w:r>
              <w:rPr>
                <w:rFonts w:ascii="DejaVu Sans" w:hAnsi="DejaVu Sans" w:cs="DejaVu Sans"/>
                <w:b w:val="0"/>
                <w:color w:val="171A1F"/>
                <w:sz w:val="16"/>
              </w:rPr>
              <w:t>≥90%</w:t>
            </w:r>
          </w:p>
        </w:tc>
        <w:tc>
          <w:tcPr>
            <w:tcW w:type="dxa" w:w="3920"/>
            <w:vAlign w:val="center"/>
          </w:tcPr>
          <w:p>
            <w:pPr>
              <w:jc w:val="center"/>
              <w:bidi w:val="1"/>
            </w:pPr>
            <w:r>
              <w:rPr>
                <w:rFonts w:ascii="DejaVu Sans" w:hAnsi="DejaVu Sans" w:cs="DejaVu Sans"/>
                <w:b w:val="0"/>
                <w:color w:val="171A1F"/>
                <w:sz w:val="16"/>
              </w:rPr>
              <w:t>UTM + CRM + سؤال المصدر</w:t>
            </w:r>
          </w:p>
        </w:tc>
      </w:tr>
    </w:tbl>
    <w:p>
      <w:pPr>
        <w:spacing w:after="60"/>
      </w:pPr>
    </w:p>
    <w:tbl>
      <w:tblPr>
        <w:tblW w:type="dxa" w:w="9120"/>
        <w:jc w:val="center"/>
        <w:tblLayout w:type="fixed"/>
        <w:tblLook w:firstColumn="1" w:firstRow="1" w:lastColumn="0" w:lastRow="0" w:noHBand="0" w:noVBand="1" w:val="04A0"/>
        <w:tblInd w:w="120" w:type="dxa"/>
      </w:tblPr>
      <w:tblGrid>
        <w:gridCol w:w="9120"/>
      </w:tblGrid>
      <w:tr>
        <w:tc>
          <w:tcPr>
            <w:tcW w:type="dxa" w:w="9120"/>
            <w:tcMar>
              <w:top w:w="100" w:type="dxa"/>
              <w:start w:w="110" w:type="dxa"/>
              <w:bottom w:w="100" w:type="dxa"/>
              <w:end w:w="110" w:type="dxa"/>
            </w:tcMar>
            <w:shd w:fill="EEF1F5"/>
          </w:tcPr>
          <w:p>
            <w:pPr>
              <w:jc w:val="right"/>
              <w:bidi w:val="1"/>
            </w:pPr>
            <w:r>
              <w:rPr>
                <w:rFonts w:ascii="DejaVu Sans" w:hAnsi="DejaVu Sans" w:cs="DejaVu Sans"/>
                <w:b/>
                <w:color w:val="101B2D"/>
                <w:sz w:val="20"/>
              </w:rPr>
              <w:t xml:space="preserve">لا تعتمدوا هدف 3,000 متابع وحده: </w:t>
            </w:r>
            <w:r>
              <w:rPr>
                <w:rFonts w:ascii="DejaVu Sans" w:hAnsi="DejaVu Sans" w:cs="DejaVu Sans"/>
                <w:b w:val="0"/>
                <w:color w:val="171A1F"/>
                <w:sz w:val="20"/>
              </w:rPr>
              <w:t>قد يتحقق بجمهور باحثين عن وظائف أو طلاب دون زيادة فرصة واحدة. الهدف التنفيذي يجب أن يجمع: نمو الجمهور المستهدف + اشتراكات مملوكة + اجتماعات مؤهلة.</w:t>
            </w:r>
          </w:p>
        </w:tc>
      </w:tr>
    </w:tbl>
    <w:p>
      <w:pPr>
        <w:spacing w:after="40"/>
      </w:pPr>
    </w:p>
    <w:p>
      <w:r>
        <w:br w:type="page"/>
      </w:r>
    </w:p>
    <w:p>
      <w:pPr>
        <w:pStyle w:val="Heading1"/>
        <w:jc w:val="right"/>
        <w:bidi w:val="1"/>
      </w:pPr>
      <w:r>
        <w:t>11. خطة محتوى جاهزة لأول شهر</w:t>
      </w:r>
    </w:p>
    <w:tbl>
      <w:tblPr>
        <w:tblStyle w:val="TableGrid"/>
        <w:tblW w:type="dxa" w:w="9120"/>
        <w:jc w:val="center"/>
        <w:tblLayout w:type="fixed"/>
        <w:tblLook w:firstColumn="1" w:firstRow="1" w:lastColumn="0" w:lastRow="0" w:noHBand="0" w:noVBand="1" w:val="04A0"/>
        <w:tblInd w:w="120" w:type="dxa"/>
      </w:tblPr>
      <w:tblGrid>
        <w:gridCol w:w="1000"/>
        <w:gridCol w:w="3000"/>
        <w:gridCol w:w="3520"/>
        <w:gridCol w:w="1600"/>
      </w:tblGrid>
      <w:tr>
        <w:trPr>
          <w:tblHeader/>
        </w:trPr>
        <w:tc>
          <w:tcPr>
            <w:tcW w:type="dxa" w:w="100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6"/>
              </w:rPr>
              <w:t>الأسبوع</w:t>
            </w:r>
          </w:p>
        </w:tc>
        <w:tc>
          <w:tcPr>
            <w:tcW w:type="dxa" w:w="300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6"/>
              </w:rPr>
              <w:t>الأصل الرئيسي</w:t>
            </w:r>
          </w:p>
        </w:tc>
        <w:tc>
          <w:tcPr>
            <w:tcW w:type="dxa" w:w="352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6"/>
              </w:rPr>
              <w:t>المشتقات</w:t>
            </w:r>
          </w:p>
        </w:tc>
        <w:tc>
          <w:tcPr>
            <w:tcW w:type="dxa" w:w="160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6"/>
              </w:rPr>
              <w:t>دعوة الإجراء</w:t>
            </w:r>
          </w:p>
        </w:tc>
      </w:tr>
      <w:tr>
        <w:tc>
          <w:tcPr>
            <w:tcW w:type="dxa" w:w="1000"/>
            <w:vAlign w:val="center"/>
          </w:tcPr>
          <w:p>
            <w:pPr>
              <w:jc w:val="right"/>
              <w:bidi w:val="1"/>
            </w:pPr>
            <w:r>
              <w:rPr>
                <w:rFonts w:ascii="DejaVu Sans" w:hAnsi="DejaVu Sans" w:cs="DejaVu Sans"/>
                <w:b w:val="0"/>
                <w:color w:val="171A1F"/>
                <w:sz w:val="16"/>
              </w:rPr>
              <w:t>1</w:t>
            </w:r>
          </w:p>
        </w:tc>
        <w:tc>
          <w:tcPr>
            <w:tcW w:type="dxa" w:w="3000"/>
            <w:vAlign w:val="center"/>
          </w:tcPr>
          <w:p>
            <w:pPr>
              <w:jc w:val="center"/>
              <w:bidi w:val="1"/>
            </w:pPr>
            <w:r>
              <w:rPr>
                <w:rFonts w:ascii="DejaVu Sans" w:hAnsi="DejaVu Sans" w:cs="DejaVu Sans"/>
                <w:b w:val="0"/>
                <w:color w:val="171A1F"/>
                <w:sz w:val="16"/>
              </w:rPr>
              <w:t>مقال: أثر تحديث نظامي على الشركات</w:t>
            </w:r>
          </w:p>
        </w:tc>
        <w:tc>
          <w:tcPr>
            <w:tcW w:type="dxa" w:w="3520"/>
            <w:vAlign w:val="center"/>
          </w:tcPr>
          <w:p>
            <w:pPr>
              <w:jc w:val="center"/>
              <w:bidi w:val="1"/>
            </w:pPr>
            <w:r>
              <w:rPr>
                <w:rFonts w:ascii="DejaVu Sans" w:hAnsi="DejaVu Sans" w:cs="DejaVu Sans"/>
                <w:b w:val="0"/>
                <w:color w:val="171A1F"/>
                <w:sz w:val="16"/>
              </w:rPr>
              <w:t>شرائح + فيديو شريك + FAQ + بريد</w:t>
            </w:r>
          </w:p>
        </w:tc>
        <w:tc>
          <w:tcPr>
            <w:tcW w:type="dxa" w:w="1600"/>
            <w:vAlign w:val="center"/>
          </w:tcPr>
          <w:p>
            <w:pPr>
              <w:jc w:val="center"/>
              <w:bidi w:val="1"/>
            </w:pPr>
            <w:r>
              <w:rPr>
                <w:rFonts w:ascii="DejaVu Sans" w:hAnsi="DejaVu Sans" w:cs="DejaVu Sans"/>
                <w:b w:val="0"/>
                <w:color w:val="171A1F"/>
                <w:sz w:val="16"/>
              </w:rPr>
              <w:t>اطلب إحاطة تنفيذية</w:t>
            </w:r>
          </w:p>
        </w:tc>
      </w:tr>
      <w:tr>
        <w:tc>
          <w:tcPr>
            <w:tcW w:type="dxa" w:w="1000"/>
            <w:vAlign w:val="center"/>
            <w:shd w:fill="F7F8FA"/>
          </w:tcPr>
          <w:p>
            <w:pPr>
              <w:jc w:val="right"/>
              <w:bidi w:val="1"/>
            </w:pPr>
            <w:r>
              <w:rPr>
                <w:rFonts w:ascii="DejaVu Sans" w:hAnsi="DejaVu Sans" w:cs="DejaVu Sans"/>
                <w:b w:val="0"/>
                <w:color w:val="171A1F"/>
                <w:sz w:val="16"/>
              </w:rPr>
              <w:t>2</w:t>
            </w:r>
          </w:p>
        </w:tc>
        <w:tc>
          <w:tcPr>
            <w:tcW w:type="dxa" w:w="3000"/>
            <w:vAlign w:val="center"/>
            <w:shd w:fill="F7F8FA"/>
          </w:tcPr>
          <w:p>
            <w:pPr>
              <w:jc w:val="center"/>
              <w:bidi w:val="1"/>
            </w:pPr>
            <w:r>
              <w:rPr>
                <w:rFonts w:ascii="DejaVu Sans" w:hAnsi="DejaVu Sans" w:cs="DejaVu Sans"/>
                <w:b w:val="0"/>
                <w:color w:val="171A1F"/>
                <w:sz w:val="16"/>
              </w:rPr>
              <w:t>قصة خبرة مجهّلة في منع نزاع تعاقدي</w:t>
            </w:r>
          </w:p>
        </w:tc>
        <w:tc>
          <w:tcPr>
            <w:tcW w:type="dxa" w:w="3520"/>
            <w:vAlign w:val="center"/>
            <w:shd w:fill="F7F8FA"/>
          </w:tcPr>
          <w:p>
            <w:pPr>
              <w:jc w:val="center"/>
              <w:bidi w:val="1"/>
            </w:pPr>
            <w:r>
              <w:rPr>
                <w:rFonts w:ascii="DejaVu Sans" w:hAnsi="DejaVu Sans" w:cs="DejaVu Sans"/>
                <w:b w:val="0"/>
                <w:color w:val="171A1F"/>
                <w:sz w:val="16"/>
              </w:rPr>
              <w:t>منشور محامٍ + مخطط قرار + صفحة خدمة</w:t>
            </w:r>
          </w:p>
        </w:tc>
        <w:tc>
          <w:tcPr>
            <w:tcW w:type="dxa" w:w="1600"/>
            <w:vAlign w:val="center"/>
            <w:shd w:fill="F7F8FA"/>
          </w:tcPr>
          <w:p>
            <w:pPr>
              <w:jc w:val="center"/>
              <w:bidi w:val="1"/>
            </w:pPr>
            <w:r>
              <w:rPr>
                <w:rFonts w:ascii="DejaVu Sans" w:hAnsi="DejaVu Sans" w:cs="DejaVu Sans"/>
                <w:b w:val="0"/>
                <w:color w:val="171A1F"/>
                <w:sz w:val="16"/>
              </w:rPr>
              <w:t>حمّل قائمة فحص العقود</w:t>
            </w:r>
          </w:p>
        </w:tc>
      </w:tr>
      <w:tr>
        <w:tc>
          <w:tcPr>
            <w:tcW w:type="dxa" w:w="1000"/>
            <w:vAlign w:val="center"/>
          </w:tcPr>
          <w:p>
            <w:pPr>
              <w:jc w:val="right"/>
              <w:bidi w:val="1"/>
            </w:pPr>
            <w:r>
              <w:rPr>
                <w:rFonts w:ascii="DejaVu Sans" w:hAnsi="DejaVu Sans" w:cs="DejaVu Sans"/>
                <w:b w:val="0"/>
                <w:color w:val="171A1F"/>
                <w:sz w:val="16"/>
              </w:rPr>
              <w:t>3</w:t>
            </w:r>
          </w:p>
        </w:tc>
        <w:tc>
          <w:tcPr>
            <w:tcW w:type="dxa" w:w="3000"/>
            <w:vAlign w:val="center"/>
          </w:tcPr>
          <w:p>
            <w:pPr>
              <w:jc w:val="center"/>
              <w:bidi w:val="1"/>
            </w:pPr>
            <w:r>
              <w:rPr>
                <w:rFonts w:ascii="DejaVu Sans" w:hAnsi="DejaVu Sans" w:cs="DejaVu Sans"/>
                <w:b w:val="0"/>
                <w:color w:val="171A1F"/>
                <w:sz w:val="16"/>
              </w:rPr>
              <w:t>مقابلة خبير: خطأ شائع لدى الشركات</w:t>
            </w:r>
          </w:p>
        </w:tc>
        <w:tc>
          <w:tcPr>
            <w:tcW w:type="dxa" w:w="3520"/>
            <w:vAlign w:val="center"/>
          </w:tcPr>
          <w:p>
            <w:pPr>
              <w:jc w:val="center"/>
              <w:bidi w:val="1"/>
            </w:pPr>
            <w:r>
              <w:rPr>
                <w:rFonts w:ascii="DejaVu Sans" w:hAnsi="DejaVu Sans" w:cs="DejaVu Sans"/>
                <w:b w:val="0"/>
                <w:color w:val="171A1F"/>
                <w:sz w:val="16"/>
              </w:rPr>
              <w:t>4 مقاطع + اقتباسان + سؤال تفاعلي</w:t>
            </w:r>
          </w:p>
        </w:tc>
        <w:tc>
          <w:tcPr>
            <w:tcW w:type="dxa" w:w="1600"/>
            <w:vAlign w:val="center"/>
          </w:tcPr>
          <w:p>
            <w:pPr>
              <w:jc w:val="center"/>
              <w:bidi w:val="1"/>
            </w:pPr>
            <w:r>
              <w:rPr>
                <w:rFonts w:ascii="DejaVu Sans" w:hAnsi="DejaVu Sans" w:cs="DejaVu Sans"/>
                <w:b w:val="0"/>
                <w:color w:val="171A1F"/>
                <w:sz w:val="16"/>
              </w:rPr>
              <w:t>سجل في جلسة مغلقة</w:t>
            </w:r>
          </w:p>
        </w:tc>
      </w:tr>
      <w:tr>
        <w:tc>
          <w:tcPr>
            <w:tcW w:type="dxa" w:w="1000"/>
            <w:vAlign w:val="center"/>
            <w:shd w:fill="F7F8FA"/>
          </w:tcPr>
          <w:p>
            <w:pPr>
              <w:jc w:val="right"/>
              <w:bidi w:val="1"/>
            </w:pPr>
            <w:r>
              <w:rPr>
                <w:rFonts w:ascii="DejaVu Sans" w:hAnsi="DejaVu Sans" w:cs="DejaVu Sans"/>
                <w:b w:val="0"/>
                <w:color w:val="171A1F"/>
                <w:sz w:val="16"/>
              </w:rPr>
              <w:t>4</w:t>
            </w:r>
          </w:p>
        </w:tc>
        <w:tc>
          <w:tcPr>
            <w:tcW w:type="dxa" w:w="3000"/>
            <w:vAlign w:val="center"/>
            <w:shd w:fill="F7F8FA"/>
          </w:tcPr>
          <w:p>
            <w:pPr>
              <w:jc w:val="center"/>
              <w:bidi w:val="1"/>
            </w:pPr>
            <w:r>
              <w:rPr>
                <w:rFonts w:ascii="DejaVu Sans" w:hAnsi="DejaVu Sans" w:cs="DejaVu Sans"/>
                <w:b w:val="0"/>
                <w:color w:val="171A1F"/>
                <w:sz w:val="16"/>
              </w:rPr>
              <w:t>إحاطة شهرية: 3 تغييرات يجب مراقبتها</w:t>
            </w:r>
          </w:p>
        </w:tc>
        <w:tc>
          <w:tcPr>
            <w:tcW w:type="dxa" w:w="3520"/>
            <w:vAlign w:val="center"/>
            <w:shd w:fill="F7F8FA"/>
          </w:tcPr>
          <w:p>
            <w:pPr>
              <w:jc w:val="center"/>
              <w:bidi w:val="1"/>
            </w:pPr>
            <w:r>
              <w:rPr>
                <w:rFonts w:ascii="DejaVu Sans" w:hAnsi="DejaVu Sans" w:cs="DejaVu Sans"/>
                <w:b w:val="0"/>
                <w:color w:val="171A1F"/>
                <w:sz w:val="16"/>
              </w:rPr>
              <w:t>نشرة + سلسلة + عرض صحفي</w:t>
            </w:r>
          </w:p>
        </w:tc>
        <w:tc>
          <w:tcPr>
            <w:tcW w:type="dxa" w:w="1600"/>
            <w:vAlign w:val="center"/>
            <w:shd w:fill="F7F8FA"/>
          </w:tcPr>
          <w:p>
            <w:pPr>
              <w:jc w:val="center"/>
              <w:bidi w:val="1"/>
            </w:pPr>
            <w:r>
              <w:rPr>
                <w:rFonts w:ascii="DejaVu Sans" w:hAnsi="DejaVu Sans" w:cs="DejaVu Sans"/>
                <w:b w:val="0"/>
                <w:color w:val="171A1F"/>
                <w:sz w:val="16"/>
              </w:rPr>
              <w:t>اشترك في الإحاطة الشهرية</w:t>
            </w:r>
          </w:p>
        </w:tc>
      </w:tr>
    </w:tbl>
    <w:p>
      <w:pPr>
        <w:spacing w:after="60"/>
      </w:pPr>
    </w:p>
    <w:p>
      <w:pPr>
        <w:pStyle w:val="Heading2"/>
        <w:jc w:val="right"/>
        <w:bidi w:val="1"/>
      </w:pPr>
      <w:r>
        <w:t>مزيج المحتوى</w:t>
      </w:r>
    </w:p>
    <w:tbl>
      <w:tblPr>
        <w:tblStyle w:val="TableGrid"/>
        <w:tblW w:type="dxa" w:w="9120"/>
        <w:jc w:val="center"/>
        <w:tblLayout w:type="fixed"/>
        <w:tblLook w:firstColumn="1" w:firstRow="1" w:lastColumn="0" w:lastRow="0" w:noHBand="0" w:noVBand="1" w:val="04A0"/>
        <w:tblInd w:w="120" w:type="dxa"/>
      </w:tblPr>
      <w:tblGrid>
        <w:gridCol w:w="3200"/>
        <w:gridCol w:w="1200"/>
        <w:gridCol w:w="4720"/>
      </w:tblGrid>
      <w:tr>
        <w:trPr>
          <w:tblHeader/>
        </w:trPr>
        <w:tc>
          <w:tcPr>
            <w:tcW w:type="dxa" w:w="320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7"/>
              </w:rPr>
              <w:t>الفئة</w:t>
            </w:r>
          </w:p>
        </w:tc>
        <w:tc>
          <w:tcPr>
            <w:tcW w:type="dxa" w:w="120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7"/>
              </w:rPr>
              <w:t>النسبة</w:t>
            </w:r>
          </w:p>
        </w:tc>
        <w:tc>
          <w:tcPr>
            <w:tcW w:type="dxa" w:w="472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7"/>
              </w:rPr>
              <w:t>الغرض</w:t>
            </w:r>
          </w:p>
        </w:tc>
      </w:tr>
      <w:tr>
        <w:tc>
          <w:tcPr>
            <w:tcW w:type="dxa" w:w="3200"/>
            <w:vAlign w:val="center"/>
          </w:tcPr>
          <w:p>
            <w:pPr>
              <w:jc w:val="right"/>
              <w:bidi w:val="1"/>
            </w:pPr>
            <w:r>
              <w:rPr>
                <w:rFonts w:ascii="DejaVu Sans" w:hAnsi="DejaVu Sans" w:cs="DejaVu Sans"/>
                <w:b w:val="0"/>
                <w:color w:val="171A1F"/>
                <w:sz w:val="17"/>
              </w:rPr>
              <w:t>قرارات ومخاطر أعمال</w:t>
            </w:r>
          </w:p>
        </w:tc>
        <w:tc>
          <w:tcPr>
            <w:tcW w:type="dxa" w:w="1200"/>
            <w:vAlign w:val="center"/>
          </w:tcPr>
          <w:p>
            <w:pPr>
              <w:jc w:val="center"/>
              <w:bidi w:val="1"/>
            </w:pPr>
            <w:r>
              <w:rPr>
                <w:rFonts w:ascii="DejaVu Sans" w:hAnsi="DejaVu Sans" w:cs="DejaVu Sans"/>
                <w:b w:val="0"/>
                <w:color w:val="171A1F"/>
                <w:sz w:val="17"/>
              </w:rPr>
              <w:t>40%</w:t>
            </w:r>
          </w:p>
        </w:tc>
        <w:tc>
          <w:tcPr>
            <w:tcW w:type="dxa" w:w="4720"/>
            <w:vAlign w:val="center"/>
          </w:tcPr>
          <w:p>
            <w:pPr>
              <w:jc w:val="center"/>
              <w:bidi w:val="1"/>
            </w:pPr>
            <w:r>
              <w:rPr>
                <w:rFonts w:ascii="DejaVu Sans" w:hAnsi="DejaVu Sans" w:cs="DejaVu Sans"/>
                <w:b w:val="0"/>
                <w:color w:val="171A1F"/>
                <w:sz w:val="17"/>
              </w:rPr>
              <w:t>جذب العميل المؤسسي</w:t>
            </w:r>
          </w:p>
        </w:tc>
      </w:tr>
      <w:tr>
        <w:tc>
          <w:tcPr>
            <w:tcW w:type="dxa" w:w="3200"/>
            <w:vAlign w:val="center"/>
            <w:shd w:fill="F7F8FA"/>
          </w:tcPr>
          <w:p>
            <w:pPr>
              <w:jc w:val="right"/>
              <w:bidi w:val="1"/>
            </w:pPr>
            <w:r>
              <w:rPr>
                <w:rFonts w:ascii="DejaVu Sans" w:hAnsi="DejaVu Sans" w:cs="DejaVu Sans"/>
                <w:b w:val="0"/>
                <w:color w:val="171A1F"/>
                <w:sz w:val="17"/>
              </w:rPr>
              <w:t>تفسير أنظمة وتحديثات</w:t>
            </w:r>
          </w:p>
        </w:tc>
        <w:tc>
          <w:tcPr>
            <w:tcW w:type="dxa" w:w="1200"/>
            <w:vAlign w:val="center"/>
            <w:shd w:fill="F7F8FA"/>
          </w:tcPr>
          <w:p>
            <w:pPr>
              <w:jc w:val="center"/>
              <w:bidi w:val="1"/>
            </w:pPr>
            <w:r>
              <w:rPr>
                <w:rFonts w:ascii="DejaVu Sans" w:hAnsi="DejaVu Sans" w:cs="DejaVu Sans"/>
                <w:b w:val="0"/>
                <w:color w:val="171A1F"/>
                <w:sz w:val="17"/>
              </w:rPr>
              <w:t>25%</w:t>
            </w:r>
          </w:p>
        </w:tc>
        <w:tc>
          <w:tcPr>
            <w:tcW w:type="dxa" w:w="4720"/>
            <w:vAlign w:val="center"/>
            <w:shd w:fill="F7F8FA"/>
          </w:tcPr>
          <w:p>
            <w:pPr>
              <w:jc w:val="center"/>
              <w:bidi w:val="1"/>
            </w:pPr>
            <w:r>
              <w:rPr>
                <w:rFonts w:ascii="DejaVu Sans" w:hAnsi="DejaVu Sans" w:cs="DejaVu Sans"/>
                <w:b w:val="0"/>
                <w:color w:val="171A1F"/>
                <w:sz w:val="17"/>
              </w:rPr>
              <w:t>إثبات التخصص والحداثة</w:t>
            </w:r>
          </w:p>
        </w:tc>
      </w:tr>
      <w:tr>
        <w:tc>
          <w:tcPr>
            <w:tcW w:type="dxa" w:w="3200"/>
            <w:vAlign w:val="center"/>
          </w:tcPr>
          <w:p>
            <w:pPr>
              <w:jc w:val="right"/>
              <w:bidi w:val="1"/>
            </w:pPr>
            <w:r>
              <w:rPr>
                <w:rFonts w:ascii="DejaVu Sans" w:hAnsi="DejaVu Sans" w:cs="DejaVu Sans"/>
                <w:b w:val="0"/>
                <w:color w:val="171A1F"/>
                <w:sz w:val="17"/>
              </w:rPr>
              <w:t>خبرات وصفقات وتصنيفات</w:t>
            </w:r>
          </w:p>
        </w:tc>
        <w:tc>
          <w:tcPr>
            <w:tcW w:type="dxa" w:w="1200"/>
            <w:vAlign w:val="center"/>
          </w:tcPr>
          <w:p>
            <w:pPr>
              <w:jc w:val="center"/>
              <w:bidi w:val="1"/>
            </w:pPr>
            <w:r>
              <w:rPr>
                <w:rFonts w:ascii="DejaVu Sans" w:hAnsi="DejaVu Sans" w:cs="DejaVu Sans"/>
                <w:b w:val="0"/>
                <w:color w:val="171A1F"/>
                <w:sz w:val="17"/>
              </w:rPr>
              <w:t>15%</w:t>
            </w:r>
          </w:p>
        </w:tc>
        <w:tc>
          <w:tcPr>
            <w:tcW w:type="dxa" w:w="4720"/>
            <w:vAlign w:val="center"/>
          </w:tcPr>
          <w:p>
            <w:pPr>
              <w:jc w:val="center"/>
              <w:bidi w:val="1"/>
            </w:pPr>
            <w:r>
              <w:rPr>
                <w:rFonts w:ascii="DejaVu Sans" w:hAnsi="DejaVu Sans" w:cs="DejaVu Sans"/>
                <w:b w:val="0"/>
                <w:color w:val="171A1F"/>
                <w:sz w:val="17"/>
              </w:rPr>
              <w:t>دليل اجتماعي ومهني</w:t>
            </w:r>
          </w:p>
        </w:tc>
      </w:tr>
      <w:tr>
        <w:tc>
          <w:tcPr>
            <w:tcW w:type="dxa" w:w="3200"/>
            <w:vAlign w:val="center"/>
            <w:shd w:fill="F7F8FA"/>
          </w:tcPr>
          <w:p>
            <w:pPr>
              <w:jc w:val="right"/>
              <w:bidi w:val="1"/>
            </w:pPr>
            <w:r>
              <w:rPr>
                <w:rFonts w:ascii="DejaVu Sans" w:hAnsi="DejaVu Sans" w:cs="DejaVu Sans"/>
                <w:b w:val="0"/>
                <w:color w:val="171A1F"/>
                <w:sz w:val="17"/>
              </w:rPr>
              <w:t>وجوه الخبراء وآراؤهم</w:t>
            </w:r>
          </w:p>
        </w:tc>
        <w:tc>
          <w:tcPr>
            <w:tcW w:type="dxa" w:w="1200"/>
            <w:vAlign w:val="center"/>
            <w:shd w:fill="F7F8FA"/>
          </w:tcPr>
          <w:p>
            <w:pPr>
              <w:jc w:val="center"/>
              <w:bidi w:val="1"/>
            </w:pPr>
            <w:r>
              <w:rPr>
                <w:rFonts w:ascii="DejaVu Sans" w:hAnsi="DejaVu Sans" w:cs="DejaVu Sans"/>
                <w:b w:val="0"/>
                <w:color w:val="171A1F"/>
                <w:sz w:val="17"/>
              </w:rPr>
              <w:t>10%</w:t>
            </w:r>
          </w:p>
        </w:tc>
        <w:tc>
          <w:tcPr>
            <w:tcW w:type="dxa" w:w="4720"/>
            <w:vAlign w:val="center"/>
            <w:shd w:fill="F7F8FA"/>
          </w:tcPr>
          <w:p>
            <w:pPr>
              <w:jc w:val="center"/>
              <w:bidi w:val="1"/>
            </w:pPr>
            <w:r>
              <w:rPr>
                <w:rFonts w:ascii="DejaVu Sans" w:hAnsi="DejaVu Sans" w:cs="DejaVu Sans"/>
                <w:b w:val="0"/>
                <w:color w:val="171A1F"/>
                <w:sz w:val="17"/>
              </w:rPr>
              <w:t>نقل الثقة من المؤسسة إلى الإنسان</w:t>
            </w:r>
          </w:p>
        </w:tc>
      </w:tr>
      <w:tr>
        <w:tc>
          <w:tcPr>
            <w:tcW w:type="dxa" w:w="3200"/>
            <w:vAlign w:val="center"/>
          </w:tcPr>
          <w:p>
            <w:pPr>
              <w:jc w:val="right"/>
              <w:bidi w:val="1"/>
            </w:pPr>
            <w:r>
              <w:rPr>
                <w:rFonts w:ascii="DejaVu Sans" w:hAnsi="DejaVu Sans" w:cs="DejaVu Sans"/>
                <w:b w:val="0"/>
                <w:color w:val="171A1F"/>
                <w:sz w:val="17"/>
              </w:rPr>
              <w:t>ثقافة ومناسبات</w:t>
            </w:r>
          </w:p>
        </w:tc>
        <w:tc>
          <w:tcPr>
            <w:tcW w:type="dxa" w:w="1200"/>
            <w:vAlign w:val="center"/>
          </w:tcPr>
          <w:p>
            <w:pPr>
              <w:jc w:val="center"/>
              <w:bidi w:val="1"/>
            </w:pPr>
            <w:r>
              <w:rPr>
                <w:rFonts w:ascii="DejaVu Sans" w:hAnsi="DejaVu Sans" w:cs="DejaVu Sans"/>
                <w:b w:val="0"/>
                <w:color w:val="171A1F"/>
                <w:sz w:val="17"/>
              </w:rPr>
              <w:t>10%</w:t>
            </w:r>
          </w:p>
        </w:tc>
        <w:tc>
          <w:tcPr>
            <w:tcW w:type="dxa" w:w="4720"/>
            <w:vAlign w:val="center"/>
          </w:tcPr>
          <w:p>
            <w:pPr>
              <w:jc w:val="center"/>
              <w:bidi w:val="1"/>
            </w:pPr>
            <w:r>
              <w:rPr>
                <w:rFonts w:ascii="DejaVu Sans" w:hAnsi="DejaVu Sans" w:cs="DejaVu Sans"/>
                <w:b w:val="0"/>
                <w:color w:val="171A1F"/>
                <w:sz w:val="17"/>
              </w:rPr>
              <w:t>توظيف وقرب إنساني دون تشتيت</w:t>
            </w:r>
          </w:p>
        </w:tc>
      </w:tr>
    </w:tbl>
    <w:p>
      <w:pPr>
        <w:spacing w:after="60"/>
      </w:pPr>
    </w:p>
    <w:p>
      <w:r>
        <w:br w:type="page"/>
      </w:r>
    </w:p>
    <w:p>
      <w:pPr>
        <w:pStyle w:val="Heading1"/>
        <w:jc w:val="right"/>
        <w:bidi w:val="1"/>
      </w:pPr>
      <w:r>
        <w:t>12. المخاطر والضوابط</w:t>
      </w:r>
    </w:p>
    <w:tbl>
      <w:tblPr>
        <w:tblStyle w:val="TableGrid"/>
        <w:tblW w:type="dxa" w:w="9120"/>
        <w:jc w:val="center"/>
        <w:tblLayout w:type="fixed"/>
        <w:tblLook w:firstColumn="1" w:firstRow="1" w:lastColumn="0" w:lastRow="0" w:noHBand="0" w:noVBand="1" w:val="04A0"/>
        <w:tblInd w:w="120" w:type="dxa"/>
      </w:tblPr>
      <w:tblGrid>
        <w:gridCol w:w="2100"/>
        <w:gridCol w:w="2600"/>
        <w:gridCol w:w="4420"/>
      </w:tblGrid>
      <w:tr>
        <w:trPr>
          <w:tblHeader/>
        </w:trPr>
        <w:tc>
          <w:tcPr>
            <w:tcW w:type="dxa" w:w="210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6"/>
              </w:rPr>
              <w:t>الخطر</w:t>
            </w:r>
          </w:p>
        </w:tc>
        <w:tc>
          <w:tcPr>
            <w:tcW w:type="dxa" w:w="260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6"/>
              </w:rPr>
              <w:t>الأثر</w:t>
            </w:r>
          </w:p>
        </w:tc>
        <w:tc>
          <w:tcPr>
            <w:tcW w:type="dxa" w:w="4420"/>
            <w:tcMar>
              <w:top w:w="100" w:type="dxa"/>
              <w:start w:w="110" w:type="dxa"/>
              <w:bottom w:w="100" w:type="dxa"/>
              <w:end w:w="110" w:type="dxa"/>
            </w:tcMar>
            <w:shd w:fill="101B2D"/>
            <w:vAlign w:val="center"/>
          </w:tcPr>
          <w:p>
            <w:pPr>
              <w:jc w:val="center"/>
              <w:bidi w:val="1"/>
            </w:pPr>
            <w:r>
              <w:rPr>
                <w:rFonts w:ascii="DejaVu Sans" w:hAnsi="DejaVu Sans" w:cs="DejaVu Sans"/>
                <w:b/>
                <w:color w:val="FFFFFF"/>
                <w:sz w:val="16"/>
              </w:rPr>
              <w:t>الضابط</w:t>
            </w:r>
          </w:p>
        </w:tc>
      </w:tr>
      <w:tr>
        <w:tc>
          <w:tcPr>
            <w:tcW w:type="dxa" w:w="2100"/>
            <w:vAlign w:val="center"/>
          </w:tcPr>
          <w:p>
            <w:pPr>
              <w:jc w:val="right"/>
              <w:bidi w:val="1"/>
            </w:pPr>
            <w:r>
              <w:rPr>
                <w:rFonts w:ascii="DejaVu Sans" w:hAnsi="DejaVu Sans" w:cs="DejaVu Sans"/>
                <w:b w:val="0"/>
                <w:color w:val="171A1F"/>
                <w:sz w:val="16"/>
              </w:rPr>
              <w:t>كشف أسرار أو تفاصيل ملف</w:t>
            </w:r>
          </w:p>
        </w:tc>
        <w:tc>
          <w:tcPr>
            <w:tcW w:type="dxa" w:w="2600"/>
            <w:vAlign w:val="center"/>
          </w:tcPr>
          <w:p>
            <w:pPr>
              <w:jc w:val="center"/>
              <w:bidi w:val="1"/>
            </w:pPr>
            <w:r>
              <w:rPr>
                <w:rFonts w:ascii="DejaVu Sans" w:hAnsi="DejaVu Sans" w:cs="DejaVu Sans"/>
                <w:b w:val="0"/>
                <w:color w:val="171A1F"/>
                <w:sz w:val="16"/>
              </w:rPr>
              <w:t>عقوبة وضرر ثقة</w:t>
            </w:r>
          </w:p>
        </w:tc>
        <w:tc>
          <w:tcPr>
            <w:tcW w:type="dxa" w:w="4420"/>
            <w:vAlign w:val="center"/>
          </w:tcPr>
          <w:p>
            <w:pPr>
              <w:jc w:val="center"/>
              <w:bidi w:val="1"/>
            </w:pPr>
            <w:r>
              <w:rPr>
                <w:rFonts w:ascii="DejaVu Sans" w:hAnsi="DejaVu Sans" w:cs="DejaVu Sans"/>
                <w:b w:val="0"/>
                <w:color w:val="171A1F"/>
                <w:sz w:val="16"/>
              </w:rPr>
              <w:t>موافقة مكتوبة + إخفاء الهوية + مراجعة الشريك</w:t>
            </w:r>
          </w:p>
        </w:tc>
      </w:tr>
      <w:tr>
        <w:tc>
          <w:tcPr>
            <w:tcW w:type="dxa" w:w="2100"/>
            <w:vAlign w:val="center"/>
            <w:shd w:fill="F7F8FA"/>
          </w:tcPr>
          <w:p>
            <w:pPr>
              <w:jc w:val="right"/>
              <w:bidi w:val="1"/>
            </w:pPr>
            <w:r>
              <w:rPr>
                <w:rFonts w:ascii="DejaVu Sans" w:hAnsi="DejaVu Sans" w:cs="DejaVu Sans"/>
                <w:b w:val="0"/>
                <w:color w:val="171A1F"/>
                <w:sz w:val="16"/>
              </w:rPr>
              <w:t>ادعاء خبرة أو نتيجة مضللة</w:t>
            </w:r>
          </w:p>
        </w:tc>
        <w:tc>
          <w:tcPr>
            <w:tcW w:type="dxa" w:w="2600"/>
            <w:vAlign w:val="center"/>
            <w:shd w:fill="F7F8FA"/>
          </w:tcPr>
          <w:p>
            <w:pPr>
              <w:jc w:val="center"/>
              <w:bidi w:val="1"/>
            </w:pPr>
            <w:r>
              <w:rPr>
                <w:rFonts w:ascii="DejaVu Sans" w:hAnsi="DejaVu Sans" w:cs="DejaVu Sans"/>
                <w:b w:val="0"/>
                <w:color w:val="171A1F"/>
                <w:sz w:val="16"/>
              </w:rPr>
              <w:t>مخالفة مهنية</w:t>
            </w:r>
          </w:p>
        </w:tc>
        <w:tc>
          <w:tcPr>
            <w:tcW w:type="dxa" w:w="4420"/>
            <w:vAlign w:val="center"/>
            <w:shd w:fill="F7F8FA"/>
          </w:tcPr>
          <w:p>
            <w:pPr>
              <w:jc w:val="center"/>
              <w:bidi w:val="1"/>
            </w:pPr>
            <w:r>
              <w:rPr>
                <w:rFonts w:ascii="DejaVu Sans" w:hAnsi="DejaVu Sans" w:cs="DejaVu Sans"/>
                <w:b w:val="0"/>
                <w:color w:val="171A1F"/>
                <w:sz w:val="16"/>
              </w:rPr>
              <w:t>منع وعود الفوز والمبالغة ومراجعة الصفات</w:t>
            </w:r>
          </w:p>
        </w:tc>
      </w:tr>
      <w:tr>
        <w:tc>
          <w:tcPr>
            <w:tcW w:type="dxa" w:w="2100"/>
            <w:vAlign w:val="center"/>
          </w:tcPr>
          <w:p>
            <w:pPr>
              <w:jc w:val="right"/>
              <w:bidi w:val="1"/>
            </w:pPr>
            <w:r>
              <w:rPr>
                <w:rFonts w:ascii="DejaVu Sans" w:hAnsi="DejaVu Sans" w:cs="DejaVu Sans"/>
                <w:b w:val="0"/>
                <w:color w:val="171A1F"/>
                <w:sz w:val="16"/>
              </w:rPr>
              <w:t>التعليق المتسرع على خبر</w:t>
            </w:r>
          </w:p>
        </w:tc>
        <w:tc>
          <w:tcPr>
            <w:tcW w:type="dxa" w:w="2600"/>
            <w:vAlign w:val="center"/>
          </w:tcPr>
          <w:p>
            <w:pPr>
              <w:jc w:val="center"/>
              <w:bidi w:val="1"/>
            </w:pPr>
            <w:r>
              <w:rPr>
                <w:rFonts w:ascii="DejaVu Sans" w:hAnsi="DejaVu Sans" w:cs="DejaVu Sans"/>
                <w:b w:val="0"/>
                <w:color w:val="171A1F"/>
                <w:sz w:val="16"/>
              </w:rPr>
              <w:t>خطأ قانوني دائم الأثر</w:t>
            </w:r>
          </w:p>
        </w:tc>
        <w:tc>
          <w:tcPr>
            <w:tcW w:type="dxa" w:w="4420"/>
            <w:vAlign w:val="center"/>
          </w:tcPr>
          <w:p>
            <w:pPr>
              <w:jc w:val="center"/>
              <w:bidi w:val="1"/>
            </w:pPr>
            <w:r>
              <w:rPr>
                <w:rFonts w:ascii="DejaVu Sans" w:hAnsi="DejaVu Sans" w:cs="DejaVu Sans"/>
                <w:b w:val="0"/>
                <w:color w:val="171A1F"/>
                <w:sz w:val="16"/>
              </w:rPr>
              <w:t>نموذج تعليق من 3 نقاط ومصدر رسمي</w:t>
            </w:r>
          </w:p>
        </w:tc>
      </w:tr>
      <w:tr>
        <w:tc>
          <w:tcPr>
            <w:tcW w:type="dxa" w:w="2100"/>
            <w:vAlign w:val="center"/>
            <w:shd w:fill="F7F8FA"/>
          </w:tcPr>
          <w:p>
            <w:pPr>
              <w:jc w:val="right"/>
              <w:bidi w:val="1"/>
            </w:pPr>
            <w:r>
              <w:rPr>
                <w:rFonts w:ascii="DejaVu Sans" w:hAnsi="DejaVu Sans" w:cs="DejaVu Sans"/>
                <w:b w:val="0"/>
                <w:color w:val="171A1F"/>
                <w:sz w:val="16"/>
              </w:rPr>
              <w:t>تحول الصفحة إلى مناسبات</w:t>
            </w:r>
          </w:p>
        </w:tc>
        <w:tc>
          <w:tcPr>
            <w:tcW w:type="dxa" w:w="2600"/>
            <w:vAlign w:val="center"/>
            <w:shd w:fill="F7F8FA"/>
          </w:tcPr>
          <w:p>
            <w:pPr>
              <w:jc w:val="center"/>
              <w:bidi w:val="1"/>
            </w:pPr>
            <w:r>
              <w:rPr>
                <w:rFonts w:ascii="DejaVu Sans" w:hAnsi="DejaVu Sans" w:cs="DejaVu Sans"/>
                <w:b w:val="0"/>
                <w:color w:val="171A1F"/>
                <w:sz w:val="16"/>
              </w:rPr>
              <w:t>جمهور غير مؤهل</w:t>
            </w:r>
          </w:p>
        </w:tc>
        <w:tc>
          <w:tcPr>
            <w:tcW w:type="dxa" w:w="4420"/>
            <w:vAlign w:val="center"/>
            <w:shd w:fill="F7F8FA"/>
          </w:tcPr>
          <w:p>
            <w:pPr>
              <w:jc w:val="center"/>
              <w:bidi w:val="1"/>
            </w:pPr>
            <w:r>
              <w:rPr>
                <w:rFonts w:ascii="DejaVu Sans" w:hAnsi="DejaVu Sans" w:cs="DejaVu Sans"/>
                <w:b w:val="0"/>
                <w:color w:val="171A1F"/>
                <w:sz w:val="16"/>
              </w:rPr>
              <w:t>سقف 10–15% للمحتوى الثقافي</w:t>
            </w:r>
          </w:p>
        </w:tc>
      </w:tr>
      <w:tr>
        <w:tc>
          <w:tcPr>
            <w:tcW w:type="dxa" w:w="2100"/>
            <w:vAlign w:val="center"/>
          </w:tcPr>
          <w:p>
            <w:pPr>
              <w:jc w:val="right"/>
              <w:bidi w:val="1"/>
            </w:pPr>
            <w:r>
              <w:rPr>
                <w:rFonts w:ascii="DejaVu Sans" w:hAnsi="DejaVu Sans" w:cs="DejaVu Sans"/>
                <w:b w:val="0"/>
                <w:color w:val="171A1F"/>
                <w:sz w:val="16"/>
              </w:rPr>
              <w:t>اعتماد على منصة واحدة</w:t>
            </w:r>
          </w:p>
        </w:tc>
        <w:tc>
          <w:tcPr>
            <w:tcW w:type="dxa" w:w="2600"/>
            <w:vAlign w:val="center"/>
          </w:tcPr>
          <w:p>
            <w:pPr>
              <w:jc w:val="center"/>
              <w:bidi w:val="1"/>
            </w:pPr>
            <w:r>
              <w:rPr>
                <w:rFonts w:ascii="DejaVu Sans" w:hAnsi="DejaVu Sans" w:cs="DejaVu Sans"/>
                <w:b w:val="0"/>
                <w:color w:val="171A1F"/>
                <w:sz w:val="16"/>
              </w:rPr>
              <w:t>فقدان الوصول</w:t>
            </w:r>
          </w:p>
        </w:tc>
        <w:tc>
          <w:tcPr>
            <w:tcW w:type="dxa" w:w="4420"/>
            <w:vAlign w:val="center"/>
          </w:tcPr>
          <w:p>
            <w:pPr>
              <w:jc w:val="center"/>
              <w:bidi w:val="1"/>
            </w:pPr>
            <w:r>
              <w:rPr>
                <w:rFonts w:ascii="DejaVu Sans" w:hAnsi="DejaVu Sans" w:cs="DejaVu Sans"/>
                <w:b w:val="0"/>
                <w:color w:val="171A1F"/>
                <w:sz w:val="16"/>
              </w:rPr>
              <w:t>تحويل الجمهور إلى بريد وموقع وCRM</w:t>
            </w:r>
          </w:p>
        </w:tc>
      </w:tr>
      <w:tr>
        <w:tc>
          <w:tcPr>
            <w:tcW w:type="dxa" w:w="2100"/>
            <w:vAlign w:val="center"/>
            <w:shd w:fill="F7F8FA"/>
          </w:tcPr>
          <w:p>
            <w:pPr>
              <w:jc w:val="right"/>
              <w:bidi w:val="1"/>
            </w:pPr>
            <w:r>
              <w:rPr>
                <w:rFonts w:ascii="DejaVu Sans" w:hAnsi="DejaVu Sans" w:cs="DejaVu Sans"/>
                <w:b w:val="0"/>
                <w:color w:val="171A1F"/>
                <w:sz w:val="16"/>
              </w:rPr>
              <w:t>محتوى AI عام</w:t>
            </w:r>
          </w:p>
        </w:tc>
        <w:tc>
          <w:tcPr>
            <w:tcW w:type="dxa" w:w="2600"/>
            <w:vAlign w:val="center"/>
            <w:shd w:fill="F7F8FA"/>
          </w:tcPr>
          <w:p>
            <w:pPr>
              <w:jc w:val="center"/>
              <w:bidi w:val="1"/>
            </w:pPr>
            <w:r>
              <w:rPr>
                <w:rFonts w:ascii="DejaVu Sans" w:hAnsi="DejaVu Sans" w:cs="DejaVu Sans"/>
                <w:b w:val="0"/>
                <w:color w:val="171A1F"/>
                <w:sz w:val="16"/>
              </w:rPr>
              <w:t>ضعف ثقة وفهرسة</w:t>
            </w:r>
          </w:p>
        </w:tc>
        <w:tc>
          <w:tcPr>
            <w:tcW w:type="dxa" w:w="4420"/>
            <w:vAlign w:val="center"/>
            <w:shd w:fill="F7F8FA"/>
          </w:tcPr>
          <w:p>
            <w:pPr>
              <w:jc w:val="center"/>
              <w:bidi w:val="1"/>
            </w:pPr>
            <w:r>
              <w:rPr>
                <w:rFonts w:ascii="DejaVu Sans" w:hAnsi="DejaVu Sans" w:cs="DejaVu Sans"/>
                <w:b w:val="0"/>
                <w:color w:val="171A1F"/>
                <w:sz w:val="16"/>
              </w:rPr>
              <w:t>كل مادة تحمل رأي محامٍ ومصدرًا ومثال تطبيق</w:t>
            </w:r>
          </w:p>
        </w:tc>
      </w:tr>
      <w:tr>
        <w:tc>
          <w:tcPr>
            <w:tcW w:type="dxa" w:w="2100"/>
            <w:vAlign w:val="center"/>
          </w:tcPr>
          <w:p>
            <w:pPr>
              <w:jc w:val="right"/>
              <w:bidi w:val="1"/>
            </w:pPr>
            <w:r>
              <w:rPr>
                <w:rFonts w:ascii="DejaVu Sans" w:hAnsi="DejaVu Sans" w:cs="DejaVu Sans"/>
                <w:b w:val="0"/>
                <w:color w:val="171A1F"/>
                <w:sz w:val="16"/>
              </w:rPr>
              <w:t>قياس شكلي</w:t>
            </w:r>
          </w:p>
        </w:tc>
        <w:tc>
          <w:tcPr>
            <w:tcW w:type="dxa" w:w="2600"/>
            <w:vAlign w:val="center"/>
          </w:tcPr>
          <w:p>
            <w:pPr>
              <w:jc w:val="center"/>
              <w:bidi w:val="1"/>
            </w:pPr>
            <w:r>
              <w:rPr>
                <w:rFonts w:ascii="DejaVu Sans" w:hAnsi="DejaVu Sans" w:cs="DejaVu Sans"/>
                <w:b w:val="0"/>
                <w:color w:val="171A1F"/>
                <w:sz w:val="16"/>
              </w:rPr>
              <w:t>صرف بلا عائد</w:t>
            </w:r>
          </w:p>
        </w:tc>
        <w:tc>
          <w:tcPr>
            <w:tcW w:type="dxa" w:w="4420"/>
            <w:vAlign w:val="center"/>
          </w:tcPr>
          <w:p>
            <w:pPr>
              <w:jc w:val="center"/>
              <w:bidi w:val="1"/>
            </w:pPr>
            <w:r>
              <w:rPr>
                <w:rFonts w:ascii="DejaVu Sans" w:hAnsi="DejaVu Sans" w:cs="DejaVu Sans"/>
                <w:b w:val="0"/>
                <w:color w:val="171A1F"/>
                <w:sz w:val="16"/>
              </w:rPr>
              <w:t>UTM + حقول CRM + اجتماع شهري للفرص</w:t>
            </w:r>
          </w:p>
        </w:tc>
      </w:tr>
    </w:tbl>
    <w:p>
      <w:pPr>
        <w:spacing w:after="60"/>
      </w:pPr>
    </w:p>
    <w:p>
      <w:pPr>
        <w:spacing w:before="0" w:after="120" w:line="283" w:lineRule="auto"/>
        <w:jc w:val="right"/>
        <w:bidi w:val="1"/>
      </w:pPr>
      <w:r>
        <w:rPr>
          <w:rFonts w:ascii="DejaVu Sans" w:hAnsi="DejaVu Sans" w:cs="DejaVu Sans"/>
          <w:b w:val="0"/>
          <w:color w:val="5E6672"/>
          <w:sz w:val="15"/>
        </w:rPr>
        <w:t>المصادر: [1]، [2]</w:t>
      </w:r>
    </w:p>
    <w:p>
      <w:r>
        <w:br w:type="page"/>
      </w:r>
    </w:p>
    <w:p>
      <w:pPr>
        <w:pStyle w:val="Heading1"/>
        <w:jc w:val="right"/>
        <w:bidi w:val="1"/>
      </w:pPr>
      <w:r>
        <w:t>13. القرار النهائي</w:t>
      </w:r>
    </w:p>
    <w:tbl>
      <w:tblPr>
        <w:tblW w:type="dxa" w:w="9120"/>
        <w:jc w:val="center"/>
        <w:tblLayout w:type="fixed"/>
        <w:tblLook w:firstColumn="1" w:firstRow="1" w:lastColumn="0" w:lastRow="0" w:noHBand="0" w:noVBand="1" w:val="04A0"/>
        <w:tblInd w:w="120" w:type="dxa"/>
      </w:tblPr>
      <w:tblGrid>
        <w:gridCol w:w="9120"/>
      </w:tblGrid>
      <w:tr>
        <w:tc>
          <w:tcPr>
            <w:tcW w:type="dxa" w:w="9120"/>
            <w:tcMar>
              <w:top w:w="100" w:type="dxa"/>
              <w:start w:w="110" w:type="dxa"/>
              <w:bottom w:w="100" w:type="dxa"/>
              <w:end w:w="110" w:type="dxa"/>
            </w:tcMar>
            <w:shd w:fill="EAF3EF"/>
          </w:tcPr>
          <w:p>
            <w:pPr>
              <w:jc w:val="right"/>
              <w:bidi w:val="1"/>
            </w:pPr>
            <w:r>
              <w:rPr>
                <w:rFonts w:ascii="DejaVu Sans" w:hAnsi="DejaVu Sans" w:cs="DejaVu Sans"/>
                <w:b/>
                <w:color w:val="101B2D"/>
                <w:sz w:val="20"/>
              </w:rPr>
              <w:t xml:space="preserve">التوصية: </w:t>
            </w:r>
            <w:r>
              <w:rPr>
                <w:rFonts w:ascii="DejaVu Sans" w:hAnsi="DejaVu Sans" w:cs="DejaVu Sans"/>
                <w:b w:val="0"/>
                <w:color w:val="171A1F"/>
                <w:sz w:val="20"/>
              </w:rPr>
              <w:t>اعتماد برنامج «الخبرة التي تُرى» لمدة 90 يومًا، بقيادة شريك راعٍ، وثلاثة محامين خبراء، وأصلين معرفيين شهريًا. لا يبدأ أي إنفاق صحفي أو إعلاني قبل اكتمال الموقع، صفحات الخبراء، وقياس CRM.</w:t>
            </w:r>
          </w:p>
        </w:tc>
      </w:tr>
    </w:tbl>
    <w:p>
      <w:pPr>
        <w:spacing w:after="40"/>
      </w:pPr>
    </w:p>
    <w:p>
      <w:pPr>
        <w:pStyle w:val="Heading2"/>
        <w:jc w:val="right"/>
        <w:bidi w:val="1"/>
      </w:pPr>
      <w:r>
        <w:t>ما يُنفّذ الأسبوع القادم</w:t>
      </w:r>
    </w:p>
    <w:p>
      <w:pPr>
        <w:pStyle w:val="ListNumber"/>
        <w:spacing w:after="60"/>
        <w:jc w:val="right"/>
        <w:bidi w:val="1"/>
      </w:pPr>
      <w:r>
        <w:rPr>
          <w:rFonts w:ascii="DejaVu Sans" w:hAnsi="DejaVu Sans" w:cs="DejaVu Sans"/>
          <w:b w:val="0"/>
          <w:color w:val="171A1F"/>
          <w:sz w:val="19"/>
        </w:rPr>
        <w:t>اختيار 3 قطاعات ربحية أو استراتيجية للمكتب، لا 12 تخصصًا عامًا.</w:t>
      </w:r>
    </w:p>
    <w:p>
      <w:pPr>
        <w:pStyle w:val="ListNumber"/>
        <w:spacing w:after="60"/>
        <w:jc w:val="right"/>
        <w:bidi w:val="1"/>
      </w:pPr>
      <w:r>
        <w:rPr>
          <w:rFonts w:ascii="DejaVu Sans" w:hAnsi="DejaVu Sans" w:cs="DejaVu Sans"/>
          <w:b w:val="0"/>
          <w:color w:val="171A1F"/>
          <w:sz w:val="19"/>
        </w:rPr>
        <w:t>تسمية 3 وجوه إعلامية وتحديد موضوع ملكية لكل واحد.</w:t>
      </w:r>
    </w:p>
    <w:p>
      <w:pPr>
        <w:pStyle w:val="ListNumber"/>
        <w:spacing w:after="60"/>
        <w:jc w:val="right"/>
        <w:bidi w:val="1"/>
      </w:pPr>
      <w:r>
        <w:rPr>
          <w:rFonts w:ascii="DejaVu Sans" w:hAnsi="DejaVu Sans" w:cs="DejaVu Sans"/>
          <w:b w:val="0"/>
          <w:color w:val="171A1F"/>
          <w:sz w:val="19"/>
        </w:rPr>
        <w:t>استخراج 30 سؤالًا متكررًا من الاجتماعات والمكالمات والملفات غير السرية.</w:t>
      </w:r>
    </w:p>
    <w:p>
      <w:pPr>
        <w:pStyle w:val="ListNumber"/>
        <w:spacing w:after="60"/>
        <w:jc w:val="right"/>
        <w:bidi w:val="1"/>
      </w:pPr>
      <w:r>
        <w:rPr>
          <w:rFonts w:ascii="DejaVu Sans" w:hAnsi="DejaVu Sans" w:cs="DejaVu Sans"/>
          <w:b w:val="0"/>
          <w:color w:val="171A1F"/>
          <w:sz w:val="19"/>
        </w:rPr>
        <w:t>إنشاء لوحة CRM تتضمن المصدر والحملة والمحتوى الأول والأخير.</w:t>
      </w:r>
    </w:p>
    <w:p>
      <w:pPr>
        <w:pStyle w:val="ListNumber"/>
        <w:spacing w:after="60"/>
        <w:jc w:val="right"/>
        <w:bidi w:val="1"/>
      </w:pPr>
      <w:r>
        <w:rPr>
          <w:rFonts w:ascii="DejaVu Sans" w:hAnsi="DejaVu Sans" w:cs="DejaVu Sans"/>
          <w:b w:val="0"/>
          <w:color w:val="171A1F"/>
          <w:sz w:val="19"/>
        </w:rPr>
        <w:t>إنتاج أول مقال مرجعي وتصوير 6 فيديوهات في جلسة واحدة.</w:t>
      </w:r>
    </w:p>
    <w:p>
      <w:pPr>
        <w:pStyle w:val="ListNumber"/>
        <w:spacing w:after="60"/>
        <w:jc w:val="right"/>
        <w:bidi w:val="1"/>
      </w:pPr>
      <w:r>
        <w:rPr>
          <w:rFonts w:ascii="DejaVu Sans" w:hAnsi="DejaVu Sans" w:cs="DejaVu Sans"/>
          <w:b w:val="0"/>
          <w:color w:val="171A1F"/>
          <w:sz w:val="19"/>
        </w:rPr>
        <w:t>إعداد قائمة 20 صحفيًا/منصة/نشرة متخصصة، مع عرض تعليقات لا طلب نشر دعائي.</w:t>
      </w:r>
    </w:p>
    <w:p>
      <w:pPr>
        <w:pStyle w:val="Heading2"/>
        <w:jc w:val="right"/>
        <w:bidi w:val="1"/>
      </w:pPr>
      <w:r>
        <w:t>معيار النجاح بعد 90 يومًا</w:t>
      </w:r>
    </w:p>
    <w:p>
      <w:pPr>
        <w:spacing w:before="0" w:after="100" w:line="283" w:lineRule="auto"/>
        <w:jc w:val="right"/>
        <w:bidi w:val="1"/>
      </w:pPr>
      <w:r>
        <w:rPr>
          <w:rFonts w:ascii="DejaVu Sans" w:hAnsi="DejaVu Sans" w:cs="DejaVu Sans"/>
          <w:b/>
          <w:color w:val="101B2D"/>
          <w:sz w:val="22"/>
        </w:rPr>
        <w:t>ليس «أصبحنا مشهورين»، بل: أصبح للمكتب رأي معروف في ثلاثة موضوعات، وثلاثة محامين يمكن للصحفي أو العميل التعرف عليهم، وقائمة جمهور مملوكة، ونظام يربط كل نشاط إعلامي بطلب أعمال أو علاقة قابلة للمتابعة.</w:t>
      </w:r>
    </w:p>
    <w:p>
      <w:r>
        <w:br w:type="page"/>
      </w:r>
    </w:p>
    <w:p>
      <w:pPr>
        <w:pStyle w:val="Heading1"/>
        <w:jc w:val="right"/>
        <w:bidi w:val="1"/>
      </w:pPr>
      <w:r>
        <w:t>المراجع وروابط التحقق</w:t>
      </w:r>
    </w:p>
    <w:p>
      <w:pPr>
        <w:spacing w:after="80"/>
        <w:jc w:val="right"/>
        <w:bidi w:val="1"/>
      </w:pPr>
      <w:r>
        <w:rPr>
          <w:rFonts w:ascii="DejaVu Sans" w:hAnsi="DejaVu Sans" w:cs="DejaVu Sans"/>
          <w:b/>
          <w:color w:val="101B2D"/>
          <w:sz w:val="16"/>
        </w:rPr>
        <w:t>[1] وزارة العدل – قواعد السلوك المهني للمحامين، قواعد الإعلان والمشاركة الإعلامية</w:t>
        <w:br/>
      </w:r>
      <w:r>
        <w:rPr>
          <w:rFonts w:ascii="DejaVu Sans" w:hAnsi="DejaVu Sans" w:cs="DejaVu Sans"/>
          <w:b w:val="0"/>
          <w:color w:val="5E6672"/>
          <w:sz w:val="14"/>
        </w:rPr>
        <w:t>https://laws.moj.gov.sa/ar/legislation/JmI0BPgVlA5GuIxkJUi08A</w:t>
      </w:r>
    </w:p>
    <w:p>
      <w:pPr>
        <w:spacing w:after="80"/>
        <w:jc w:val="right"/>
        <w:bidi w:val="1"/>
      </w:pPr>
      <w:r>
        <w:rPr>
          <w:rFonts w:ascii="DejaVu Sans" w:hAnsi="DejaVu Sans" w:cs="DejaVu Sans"/>
          <w:b/>
          <w:color w:val="101B2D"/>
          <w:sz w:val="16"/>
        </w:rPr>
        <w:t>[2] وزارة العدل – خبر تطبيق القاعدة 37 بشأن خصوصية العملاء وسرية المعلومات</w:t>
        <w:br/>
      </w:r>
      <w:r>
        <w:rPr>
          <w:rFonts w:ascii="DejaVu Sans" w:hAnsi="DejaVu Sans" w:cs="DejaVu Sans"/>
          <w:b w:val="0"/>
          <w:color w:val="5E6672"/>
          <w:sz w:val="14"/>
        </w:rPr>
        <w:t>https://www.moj.gov.sa/ar/MediaCenter/News/Pages/NewsDetails.aspx?itemId=1402</w:t>
      </w:r>
    </w:p>
    <w:p>
      <w:pPr>
        <w:spacing w:after="80"/>
        <w:jc w:val="right"/>
        <w:bidi w:val="1"/>
      </w:pPr>
      <w:r>
        <w:rPr>
          <w:rFonts w:ascii="DejaVu Sans" w:hAnsi="DejaVu Sans" w:cs="DejaVu Sans"/>
          <w:b/>
          <w:color w:val="101B2D"/>
          <w:sz w:val="16"/>
        </w:rPr>
        <w:t>[3] الهيئة العامة للإحصاء – نفاذ واستخدام تقنية المعلومات والاتصالات للأفراد 2025</w:t>
        <w:br/>
      </w:r>
      <w:r>
        <w:rPr>
          <w:rFonts w:ascii="DejaVu Sans" w:hAnsi="DejaVu Sans" w:cs="DejaVu Sans"/>
          <w:b w:val="0"/>
          <w:color w:val="5E6672"/>
          <w:sz w:val="14"/>
        </w:rPr>
        <w:t>https://www.stats.gov.sa/documents/20117/2435267/ICT%2BAccess%2Band%2BUsage%2B2025-EN.pdf/d91fc7dd-2f2e-ee1a-248c-c8f38102ef01?t=1767603674645</w:t>
      </w:r>
    </w:p>
    <w:p>
      <w:pPr>
        <w:spacing w:after="80"/>
        <w:jc w:val="right"/>
        <w:bidi w:val="1"/>
      </w:pPr>
      <w:r>
        <w:rPr>
          <w:rFonts w:ascii="DejaVu Sans" w:hAnsi="DejaVu Sans" w:cs="DejaVu Sans"/>
          <w:b/>
          <w:color w:val="101B2D"/>
          <w:sz w:val="16"/>
        </w:rPr>
        <w:t>[4] الهيئة العامة للإحصاء – استخدام المنشآت لتقنية المعلومات والاتصالات 2025</w:t>
        <w:br/>
      </w:r>
      <w:r>
        <w:rPr>
          <w:rFonts w:ascii="DejaVu Sans" w:hAnsi="DejaVu Sans" w:cs="DejaVu Sans"/>
          <w:b w:val="0"/>
          <w:color w:val="5E6672"/>
          <w:sz w:val="14"/>
        </w:rPr>
        <w:t>https://www.stats.gov.sa/documents/d/guest/establishments-ict-access-and-usage-statistics-2025-en-pdf</w:t>
      </w:r>
    </w:p>
    <w:p>
      <w:pPr>
        <w:spacing w:after="80"/>
        <w:jc w:val="right"/>
        <w:bidi w:val="1"/>
      </w:pPr>
      <w:r>
        <w:rPr>
          <w:rFonts w:ascii="DejaVu Sans" w:hAnsi="DejaVu Sans" w:cs="DejaVu Sans"/>
          <w:b/>
          <w:color w:val="101B2D"/>
          <w:sz w:val="16"/>
        </w:rPr>
        <w:t>[5] هيئة الاتصالات والفضاء والتقنية – تقرير إنترنت السعودية 2025</w:t>
        <w:br/>
      </w:r>
      <w:r>
        <w:rPr>
          <w:rFonts w:ascii="DejaVu Sans" w:hAnsi="DejaVu Sans" w:cs="DejaVu Sans"/>
          <w:b w:val="0"/>
          <w:color w:val="5E6672"/>
          <w:sz w:val="14"/>
        </w:rPr>
        <w:t>https://www.cst.gov.sa/en/knowledge-center/reports/saudi-internet-report-25-dashboard</w:t>
      </w:r>
    </w:p>
    <w:p>
      <w:pPr>
        <w:spacing w:after="80"/>
        <w:jc w:val="right"/>
        <w:bidi w:val="1"/>
      </w:pPr>
      <w:r>
        <w:rPr>
          <w:rFonts w:ascii="DejaVu Sans" w:hAnsi="DejaVu Sans" w:cs="DejaVu Sans"/>
          <w:b/>
          <w:color w:val="101B2D"/>
          <w:sz w:val="16"/>
        </w:rPr>
        <w:t>[6] LinkedIn Help – كيفية ترتيب المحتوى بحسب الصلة والاهتمامات والتفاعل</w:t>
        <w:br/>
      </w:r>
      <w:r>
        <w:rPr>
          <w:rFonts w:ascii="DejaVu Sans" w:hAnsi="DejaVu Sans" w:cs="DejaVu Sans"/>
          <w:b w:val="0"/>
          <w:color w:val="5E6672"/>
          <w:sz w:val="14"/>
        </w:rPr>
        <w:t>https://www.linkedin.com/help/linkedin/answer/a1339724</w:t>
      </w:r>
    </w:p>
    <w:p>
      <w:pPr>
        <w:spacing w:after="80"/>
        <w:jc w:val="right"/>
        <w:bidi w:val="1"/>
      </w:pPr>
      <w:r>
        <w:rPr>
          <w:rFonts w:ascii="DejaVu Sans" w:hAnsi="DejaVu Sans" w:cs="DejaVu Sans"/>
          <w:b/>
          <w:color w:val="101B2D"/>
          <w:sz w:val="16"/>
        </w:rPr>
        <w:t>[7] LinkedIn Help – معايير Top Voices: الاستمرارية والأصالة والثقة</w:t>
        <w:br/>
      </w:r>
      <w:r>
        <w:rPr>
          <w:rFonts w:ascii="DejaVu Sans" w:hAnsi="DejaVu Sans" w:cs="DejaVu Sans"/>
          <w:b w:val="0"/>
          <w:color w:val="5E6672"/>
          <w:sz w:val="14"/>
        </w:rPr>
        <w:t>https://www.linkedin.com/help/linkedin/answer/a776208</w:t>
      </w:r>
    </w:p>
    <w:p>
      <w:pPr>
        <w:spacing w:after="80"/>
        <w:jc w:val="right"/>
        <w:bidi w:val="1"/>
      </w:pPr>
      <w:r>
        <w:rPr>
          <w:rFonts w:ascii="DejaVu Sans" w:hAnsi="DejaVu Sans" w:cs="DejaVu Sans"/>
          <w:b/>
          <w:color w:val="101B2D"/>
          <w:sz w:val="16"/>
        </w:rPr>
        <w:t>[8] LinkedIn Help – إدارة النشرات الإخبارية للصفحات</w:t>
        <w:br/>
      </w:r>
      <w:r>
        <w:rPr>
          <w:rFonts w:ascii="DejaVu Sans" w:hAnsi="DejaVu Sans" w:cs="DejaVu Sans"/>
          <w:b w:val="0"/>
          <w:color w:val="5E6672"/>
          <w:sz w:val="14"/>
        </w:rPr>
        <w:t>https://www.linkedin.com/help/linkedin/answer/a517925</w:t>
      </w:r>
    </w:p>
    <w:p>
      <w:pPr>
        <w:spacing w:after="80"/>
        <w:jc w:val="right"/>
        <w:bidi w:val="1"/>
      </w:pPr>
      <w:r>
        <w:rPr>
          <w:rFonts w:ascii="DejaVu Sans" w:hAnsi="DejaVu Sans" w:cs="DejaVu Sans"/>
          <w:b/>
          <w:color w:val="101B2D"/>
          <w:sz w:val="16"/>
        </w:rPr>
        <w:t>[9] X Business – تحسين الحملات وتجديد المواد الإبداعية</w:t>
        <w:br/>
      </w:r>
      <w:r>
        <w:rPr>
          <w:rFonts w:ascii="DejaVu Sans" w:hAnsi="DejaVu Sans" w:cs="DejaVu Sans"/>
          <w:b w:val="0"/>
          <w:color w:val="5E6672"/>
          <w:sz w:val="14"/>
        </w:rPr>
        <w:t>https://business.x.com/en/help/campaign-editing-and-optimization/intro-to-optimizing</w:t>
      </w:r>
    </w:p>
    <w:p>
      <w:pPr>
        <w:spacing w:after="80"/>
        <w:jc w:val="right"/>
        <w:bidi w:val="1"/>
      </w:pPr>
      <w:r>
        <w:rPr>
          <w:rFonts w:ascii="DejaVu Sans" w:hAnsi="DejaVu Sans" w:cs="DejaVu Sans"/>
          <w:b/>
          <w:color w:val="101B2D"/>
          <w:sz w:val="16"/>
        </w:rPr>
        <w:t>[10] X Business – الاستهداف بالمحادثات والاهتمامات والكلمات</w:t>
        <w:br/>
      </w:r>
      <w:r>
        <w:rPr>
          <w:rFonts w:ascii="DejaVu Sans" w:hAnsi="DejaVu Sans" w:cs="DejaVu Sans"/>
          <w:b w:val="0"/>
          <w:color w:val="5E6672"/>
          <w:sz w:val="14"/>
        </w:rPr>
        <w:t>https://business.x.com/en/advertising/targeting</w:t>
      </w:r>
    </w:p>
    <w:p>
      <w:pPr>
        <w:spacing w:after="80"/>
        <w:jc w:val="right"/>
        <w:bidi w:val="1"/>
      </w:pPr>
      <w:r>
        <w:rPr>
          <w:rFonts w:ascii="DejaVu Sans" w:hAnsi="DejaVu Sans" w:cs="DejaVu Sans"/>
          <w:b/>
          <w:color w:val="101B2D"/>
          <w:sz w:val="16"/>
        </w:rPr>
        <w:t>[11] LinkedIn – صفحة التميمي ومشاركوه (لقطة المتابعين والمحتوى)</w:t>
        <w:br/>
      </w:r>
      <w:r>
        <w:rPr>
          <w:rFonts w:ascii="DejaVu Sans" w:hAnsi="DejaVu Sans" w:cs="DejaVu Sans"/>
          <w:b w:val="0"/>
          <w:color w:val="5E6672"/>
          <w:sz w:val="14"/>
        </w:rPr>
        <w:t>https://www.linkedin.com/company/al-tamimi-company</w:t>
      </w:r>
    </w:p>
    <w:p>
      <w:pPr>
        <w:spacing w:after="80"/>
        <w:jc w:val="right"/>
        <w:bidi w:val="1"/>
      </w:pPr>
      <w:r>
        <w:rPr>
          <w:rFonts w:ascii="DejaVu Sans" w:hAnsi="DejaVu Sans" w:cs="DejaVu Sans"/>
          <w:b/>
          <w:color w:val="101B2D"/>
          <w:sz w:val="16"/>
        </w:rPr>
        <w:t>[12] LinkedIn – صفحة إياد رضا (لقطة المتابعين والمنشورات العامة)</w:t>
        <w:br/>
      </w:r>
      <w:r>
        <w:rPr>
          <w:rFonts w:ascii="DejaVu Sans" w:hAnsi="DejaVu Sans" w:cs="DejaVu Sans"/>
          <w:b w:val="0"/>
          <w:color w:val="5E6672"/>
          <w:sz w:val="14"/>
        </w:rPr>
        <w:t>https://www.linkedin.com/company/eyadredalawfirm</w:t>
      </w:r>
    </w:p>
    <w:p>
      <w:pPr>
        <w:spacing w:after="80"/>
        <w:jc w:val="right"/>
        <w:bidi w:val="1"/>
      </w:pPr>
      <w:r>
        <w:rPr>
          <w:rFonts w:ascii="DejaVu Sans" w:hAnsi="DejaVu Sans" w:cs="DejaVu Sans"/>
          <w:b/>
          <w:color w:val="101B2D"/>
          <w:sz w:val="16"/>
        </w:rPr>
        <w:t>[13] LinkedIn – صفحة Z&amp;Co. (لقطة المتابعين والندوات والتحديثات)</w:t>
        <w:br/>
      </w:r>
      <w:r>
        <w:rPr>
          <w:rFonts w:ascii="DejaVu Sans" w:hAnsi="DejaVu Sans" w:cs="DejaVu Sans"/>
          <w:b w:val="0"/>
          <w:color w:val="5E6672"/>
          <w:sz w:val="14"/>
        </w:rPr>
        <w:t>https://www.linkedin.com/company/zandco</w:t>
      </w:r>
    </w:p>
    <w:p>
      <w:pPr>
        <w:spacing w:after="80"/>
        <w:jc w:val="right"/>
        <w:bidi w:val="1"/>
      </w:pPr>
      <w:r>
        <w:rPr>
          <w:rFonts w:ascii="DejaVu Sans" w:hAnsi="DejaVu Sans" w:cs="DejaVu Sans"/>
          <w:b/>
          <w:color w:val="101B2D"/>
          <w:sz w:val="16"/>
        </w:rPr>
        <w:t>[14] LinkedIn – صفحة حماد والمهيدب</w:t>
        <w:br/>
      </w:r>
      <w:r>
        <w:rPr>
          <w:rFonts w:ascii="DejaVu Sans" w:hAnsi="DejaVu Sans" w:cs="DejaVu Sans"/>
          <w:b w:val="0"/>
          <w:color w:val="5E6672"/>
          <w:sz w:val="14"/>
        </w:rPr>
        <w:t>https://www.linkedin.com/company/hammadandalmehdar</w:t>
      </w:r>
    </w:p>
    <w:p>
      <w:pPr>
        <w:spacing w:after="80"/>
        <w:jc w:val="right"/>
        <w:bidi w:val="1"/>
      </w:pPr>
      <w:r>
        <w:rPr>
          <w:rFonts w:ascii="DejaVu Sans" w:hAnsi="DejaVu Sans" w:cs="DejaVu Sans"/>
          <w:b/>
          <w:color w:val="101B2D"/>
          <w:sz w:val="16"/>
        </w:rPr>
        <w:t>[15] LinkedIn – صفحة الخشيم ومشاركوه</w:t>
        <w:br/>
      </w:r>
      <w:r>
        <w:rPr>
          <w:rFonts w:ascii="DejaVu Sans" w:hAnsi="DejaVu Sans" w:cs="DejaVu Sans"/>
          <w:b w:val="0"/>
          <w:color w:val="5E6672"/>
          <w:sz w:val="14"/>
        </w:rPr>
        <w:t>https://sa.linkedin.com/company/khoshaim</w:t>
      </w:r>
    </w:p>
    <w:p>
      <w:pPr>
        <w:spacing w:after="80"/>
        <w:jc w:val="right"/>
        <w:bidi w:val="1"/>
      </w:pPr>
      <w:r>
        <w:rPr>
          <w:rFonts w:ascii="DejaVu Sans" w:hAnsi="DejaVu Sans" w:cs="DejaVu Sans"/>
          <w:b/>
          <w:color w:val="101B2D"/>
          <w:sz w:val="16"/>
        </w:rPr>
        <w:t>[16] LinkedIn – صفحة AS&amp;H Clifford Chance</w:t>
        <w:br/>
      </w:r>
      <w:r>
        <w:rPr>
          <w:rFonts w:ascii="DejaVu Sans" w:hAnsi="DejaVu Sans" w:cs="DejaVu Sans"/>
          <w:b w:val="0"/>
          <w:color w:val="5E6672"/>
          <w:sz w:val="14"/>
        </w:rPr>
        <w:t>https://sa.linkedin.com/company/ashcliffordchance</w:t>
      </w:r>
    </w:p>
    <w:p>
      <w:pPr>
        <w:spacing w:after="80"/>
        <w:jc w:val="right"/>
        <w:bidi w:val="1"/>
      </w:pPr>
      <w:r>
        <w:rPr>
          <w:rFonts w:ascii="DejaVu Sans" w:hAnsi="DejaVu Sans" w:cs="DejaVu Sans"/>
          <w:b/>
          <w:color w:val="101B2D"/>
          <w:sz w:val="16"/>
        </w:rPr>
        <w:t>[17] LinkedIn – صفحة الحرساني والخميس</w:t>
        <w:br/>
      </w:r>
      <w:r>
        <w:rPr>
          <w:rFonts w:ascii="DejaVu Sans" w:hAnsi="DejaVu Sans" w:cs="DejaVu Sans"/>
          <w:b w:val="0"/>
          <w:color w:val="5E6672"/>
          <w:sz w:val="14"/>
        </w:rPr>
        <w:t>https://ca.linkedin.com/company/ha-law</w:t>
      </w:r>
    </w:p>
    <w:p>
      <w:pPr>
        <w:spacing w:after="80"/>
        <w:jc w:val="right"/>
        <w:bidi w:val="1"/>
      </w:pPr>
      <w:r>
        <w:rPr>
          <w:rFonts w:ascii="DejaVu Sans" w:hAnsi="DejaVu Sans" w:cs="DejaVu Sans"/>
          <w:b/>
          <w:color w:val="101B2D"/>
          <w:sz w:val="16"/>
        </w:rPr>
        <w:t>[18] LinkedIn – صفحة STAT</w:t>
        <w:br/>
      </w:r>
      <w:r>
        <w:rPr>
          <w:rFonts w:ascii="DejaVu Sans" w:hAnsi="DejaVu Sans" w:cs="DejaVu Sans"/>
          <w:b w:val="0"/>
          <w:color w:val="5E6672"/>
          <w:sz w:val="14"/>
        </w:rPr>
        <w:t>https://www.linkedin.com/company/statlawksa/</w:t>
      </w:r>
    </w:p>
    <w:p>
      <w:pPr>
        <w:spacing w:after="80"/>
        <w:jc w:val="right"/>
        <w:bidi w:val="1"/>
      </w:pPr>
      <w:r>
        <w:rPr>
          <w:rFonts w:ascii="DejaVu Sans" w:hAnsi="DejaVu Sans" w:cs="DejaVu Sans"/>
          <w:b/>
          <w:color w:val="101B2D"/>
          <w:sz w:val="16"/>
        </w:rPr>
        <w:t>[19] LinkedIn – صفحة الدبعان ومشاركوه / Eversheds Sutherland</w:t>
        <w:br/>
      </w:r>
      <w:r>
        <w:rPr>
          <w:rFonts w:ascii="DejaVu Sans" w:hAnsi="DejaVu Sans" w:cs="DejaVu Sans"/>
          <w:b w:val="0"/>
          <w:color w:val="5E6672"/>
          <w:sz w:val="14"/>
        </w:rPr>
        <w:t>https://www.linkedin.com/company/aldhabaan-and-partners</w:t>
      </w:r>
    </w:p>
    <w:p>
      <w:pPr>
        <w:spacing w:after="80"/>
        <w:jc w:val="right"/>
        <w:bidi w:val="1"/>
      </w:pPr>
      <w:r>
        <w:rPr>
          <w:rFonts w:ascii="DejaVu Sans" w:hAnsi="DejaVu Sans" w:cs="DejaVu Sans"/>
          <w:b/>
          <w:color w:val="101B2D"/>
          <w:sz w:val="16"/>
        </w:rPr>
        <w:t>[20] LinkedIn – صفحة عبدالعزيز الفريان للاستشارات القانونية</w:t>
        <w:br/>
      </w:r>
      <w:r>
        <w:rPr>
          <w:rFonts w:ascii="DejaVu Sans" w:hAnsi="DejaVu Sans" w:cs="DejaVu Sans"/>
          <w:b w:val="0"/>
          <w:color w:val="5E6672"/>
          <w:sz w:val="14"/>
        </w:rPr>
        <w:t>https://www.linkedin.com/company/alfrayanlaw</w:t>
      </w:r>
    </w:p>
    <w:p>
      <w:pPr>
        <w:spacing w:after="80"/>
        <w:jc w:val="right"/>
        <w:bidi w:val="1"/>
      </w:pPr>
      <w:r>
        <w:rPr>
          <w:rFonts w:ascii="DejaVu Sans" w:hAnsi="DejaVu Sans" w:cs="DejaVu Sans"/>
          <w:b/>
          <w:color w:val="101B2D"/>
          <w:sz w:val="16"/>
        </w:rPr>
        <w:t>[21] LinkedIn – صفحة SuhailPartners</w:t>
        <w:br/>
      </w:r>
      <w:r>
        <w:rPr>
          <w:rFonts w:ascii="DejaVu Sans" w:hAnsi="DejaVu Sans" w:cs="DejaVu Sans"/>
          <w:b w:val="0"/>
          <w:color w:val="5E6672"/>
          <w:sz w:val="14"/>
        </w:rPr>
        <w:t>https://www.linkedin.com/company/suhailpartners</w:t>
      </w:r>
    </w:p>
    <w:p>
      <w:pPr>
        <w:spacing w:after="80"/>
        <w:jc w:val="right"/>
        <w:bidi w:val="1"/>
      </w:pPr>
      <w:r>
        <w:rPr>
          <w:rFonts w:ascii="DejaVu Sans" w:hAnsi="DejaVu Sans" w:cs="DejaVu Sans"/>
          <w:b/>
          <w:color w:val="101B2D"/>
          <w:sz w:val="16"/>
        </w:rPr>
        <w:t>[22] LinkedIn – صفحة قيصر متولي</w:t>
        <w:br/>
      </w:r>
      <w:r>
        <w:rPr>
          <w:rFonts w:ascii="DejaVu Sans" w:hAnsi="DejaVu Sans" w:cs="DejaVu Sans"/>
          <w:b w:val="0"/>
          <w:color w:val="5E6672"/>
          <w:sz w:val="14"/>
        </w:rPr>
        <w:t>https://gh.linkedin.com/company/qhmlawfirm</w:t>
      </w:r>
    </w:p>
    <w:p>
      <w:pPr>
        <w:spacing w:after="80"/>
        <w:jc w:val="right"/>
        <w:bidi w:val="1"/>
      </w:pPr>
      <w:r>
        <w:rPr>
          <w:rFonts w:ascii="DejaVu Sans" w:hAnsi="DejaVu Sans" w:cs="DejaVu Sans"/>
          <w:b/>
          <w:color w:val="101B2D"/>
          <w:sz w:val="16"/>
        </w:rPr>
        <w:t>[23] Chambers Global 2026 – AS&amp;H Clifford Chance</w:t>
        <w:br/>
      </w:r>
      <w:r>
        <w:rPr>
          <w:rFonts w:ascii="DejaVu Sans" w:hAnsi="DejaVu Sans" w:cs="DejaVu Sans"/>
          <w:b w:val="0"/>
          <w:color w:val="5E6672"/>
          <w:sz w:val="14"/>
        </w:rPr>
        <w:t>https://chambers.com/law-firm/ash-clifford-chance-global-2%3A22793825</w:t>
      </w:r>
    </w:p>
    <w:p>
      <w:pPr>
        <w:spacing w:after="80"/>
        <w:jc w:val="right"/>
        <w:bidi w:val="1"/>
      </w:pPr>
      <w:r>
        <w:rPr>
          <w:rFonts w:ascii="DejaVu Sans" w:hAnsi="DejaVu Sans" w:cs="DejaVu Sans"/>
          <w:b/>
          <w:color w:val="101B2D"/>
          <w:sz w:val="16"/>
        </w:rPr>
        <w:t>[24] Chambers Global 2026 – Khoshaim &amp; Associates</w:t>
        <w:br/>
      </w:r>
      <w:r>
        <w:rPr>
          <w:rFonts w:ascii="DejaVu Sans" w:hAnsi="DejaVu Sans" w:cs="DejaVu Sans"/>
          <w:b w:val="0"/>
          <w:color w:val="5E6672"/>
          <w:sz w:val="14"/>
        </w:rPr>
        <w:t>https://chambers.com/law-firm/khoshaim-associates-global-2%3A148211</w:t>
      </w:r>
    </w:p>
    <w:p>
      <w:pPr>
        <w:spacing w:after="80"/>
        <w:jc w:val="right"/>
        <w:bidi w:val="1"/>
      </w:pPr>
      <w:r>
        <w:rPr>
          <w:rFonts w:ascii="DejaVu Sans" w:hAnsi="DejaVu Sans" w:cs="DejaVu Sans"/>
          <w:b/>
          <w:color w:val="101B2D"/>
          <w:sz w:val="16"/>
        </w:rPr>
        <w:t>[25] Legal 500 – سوق مكاتب المحاماة في السعودية</w:t>
        <w:br/>
      </w:r>
      <w:r>
        <w:rPr>
          <w:rFonts w:ascii="DejaVu Sans" w:hAnsi="DejaVu Sans" w:cs="DejaVu Sans"/>
          <w:b w:val="0"/>
          <w:color w:val="5E6672"/>
          <w:sz w:val="14"/>
        </w:rPr>
        <w:t>https://www.legal500.com/c/saudi-arabia</w:t>
      </w:r>
    </w:p>
    <w:p>
      <w:pPr>
        <w:spacing w:after="80"/>
        <w:jc w:val="right"/>
        <w:bidi w:val="1"/>
      </w:pPr>
      <w:r>
        <w:rPr>
          <w:rFonts w:ascii="DejaVu Sans" w:hAnsi="DejaVu Sans" w:cs="DejaVu Sans"/>
          <w:b/>
          <w:color w:val="101B2D"/>
          <w:sz w:val="16"/>
        </w:rPr>
        <w:t>[26] Reuters – توسع المكاتب الدولية في المملكة بعد تغيّر قواعد الترخيص</w:t>
        <w:br/>
      </w:r>
      <w:r>
        <w:rPr>
          <w:rFonts w:ascii="DejaVu Sans" w:hAnsi="DejaVu Sans" w:cs="DejaVu Sans"/>
          <w:b w:val="0"/>
          <w:color w:val="5E6672"/>
          <w:sz w:val="14"/>
        </w:rPr>
        <w:t>https://www.reuters.com/legal/legalindustry/two-us-law-firms-push-into-saudi-arabia-under-new-attorney-rules-2024-04-25/</w:t>
      </w:r>
    </w:p>
    <w:p>
      <w:pPr>
        <w:spacing w:before="160" w:after="100" w:line="283" w:lineRule="auto"/>
        <w:jc w:val="right"/>
        <w:bidi w:val="1"/>
      </w:pPr>
      <w:r>
        <w:rPr>
          <w:rFonts w:ascii="DejaVu Sans" w:hAnsi="DejaVu Sans" w:cs="DejaVu Sans"/>
          <w:b w:val="0"/>
          <w:color w:val="5E6672"/>
          <w:sz w:val="16"/>
        </w:rPr>
        <w:t>ملاحظة: بيانات المتابعين والمحتوى العام هي لقطة بتاريخ 23 يوليو 2026 وقد تتغير. نتائج النقاط والاستنتاجات التحليلية من إعداد الدراسة وليست تصنيفات صادرة عن الجهات المذكورة.</w:t>
      </w:r>
    </w:p>
    <w:sectPr w:rsidR="00FC693F" w:rsidRPr="0006063C" w:rsidSect="00034616">
      <w:headerReference w:type="default" r:id="rId9"/>
      <w:footerReference w:type="default" r:id="rId10"/>
      <w:pgSz w:w="12240" w:h="15840"/>
      <w:pgMar w:top="1080" w:right="1080" w:bottom="1008" w:left="1080"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DejaVu Sans" w:hAnsi="DejaVu Sans" w:cs="DejaVu Sans"/>
        <w:b w:val="0"/>
        <w:color w:val="5E6672"/>
        <w:sz w:val="16"/>
      </w:rPr>
      <w:t>دراسة الظهور الإعلامي | مكتب أحمد المدني للمحاماة</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83" w:lineRule="auto"/>
    </w:pPr>
    <w:rPr>
      <w:rFonts w:ascii="DejaVu Sans" w:hAnsi="DejaVu Sans"/>
      <w:color w:val="171A1F"/>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DejaVu Sans" w:hAnsi="DejaVu Sans"/>
      <w:b/>
      <w:bCs/>
      <w:color w:val="101B2D"/>
      <w:sz w:val="38"/>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DejaVu Sans" w:hAnsi="DejaVu Sans"/>
      <w:b/>
      <w:bCs/>
      <w:color w:val="20334D"/>
      <w:sz w:val="28"/>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DejaVu Sans" w:hAnsi="DejaVu Sans"/>
      <w:b/>
      <w:bCs/>
      <w:color w:val="B79A62"/>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DejaVu Sans" w:hAnsi="DejaVu Sans"/>
      <w:sz w:val="19"/>
    </w:rPr>
  </w:style>
  <w:style w:type="paragraph" w:styleId="ListBullet2">
    <w:name w:val="List Bullet 2"/>
    <w:basedOn w:val="Normal"/>
    <w:uiPriority w:val="99"/>
    <w:unhideWhenUsed/>
    <w:rsid w:val="00326F90"/>
    <w:pPr>
      <w:numPr>
        <w:numId w:val="2"/>
      </w:numPr>
      <w:contextualSpacing/>
    </w:pPr>
    <w:rPr>
      <w:rFonts w:ascii="DejaVu Sans" w:hAnsi="DejaVu Sans"/>
      <w:sz w:val="19"/>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DejaVu Sans" w:hAnsi="DejaVu Sans"/>
      <w:sz w:val="19"/>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دراسة الظهور الإعلامي لمكاتب المحاماة في المملكة العربية السعودية</dc:title>
  <dc:subject>دراسة منافسين وخطة تنفيذ لمكتب أحمد المدني للمحاماة</dc:subject>
  <dc:creator>قسم التسويق – مكتب أحمد المدني للمحاماة</dc:creator>
  <cp:keywords/>
  <dc:description>generated by python-docx</dc:description>
  <cp:lastModifiedBy/>
  <cp:revision>1</cp:revision>
  <dcterms:created xsi:type="dcterms:W3CDTF">2013-12-23T23:15:00Z</dcterms:created>
  <dcterms:modified xsi:type="dcterms:W3CDTF">2013-12-23T23:15:00Z</dcterms:modified>
  <cp:category/>
</cp:coreProperties>
</file>